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Caddick Construction Group Opens New Headquarters at Wakefield Business Park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Caddick Construction Group has inaugurated its new headquarters, Calder House, at Wakefield 41 Business Park. Calder House, formerly Cape House, honors the company's 45-year stay at Calder Grange in Knottingley. The £3.8m renovation expanded the building from 11,000 sq ft to 15,000 sq ft and included sustainability features such as EV charging points and solar panels.</w:t>
      </w:r>
    </w:p>
    <w:p>
      <w:r>
        <w:t>The modern office space features open-plan areas, a cafe, breakout spaces, and a wellbeing zone and aims to support 130 employees. Calder House will host Caddick Construction, Caddick Civil Engineering, and CCL Facades.</w:t>
      </w:r>
    </w:p>
    <w:p>
      <w:r>
        <w:t xml:space="preserve">The renovation followed Caddick Construction Group's recent annual results, which reported a 38% turnover increase to £318m and a profit of £7.4m for the year ending August 2023. The project was supported by a team including DLA Architecture, Design Tonic, Roscoe, and CSD Engineering. </w:t>
      </w:r>
    </w:p>
    <w:p>
      <w:r>
        <w:t>Managing Director Paul Dodsworth noted the company’s growth and commitment to maintaining a high-quality project delivery while embracing the family ethos. The new regional managing director, Steve Ford, will lead the company's increased presence in Yorkshire and the North East.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