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invests in Taiwan's New Green Power to boost renewable energy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Google has announced a strategic investment in Taiwan's New Green Power (NGP), a solar developer owned by a fund managed by BlackRock's Climate Infrastructure business. This move includes the potential purchase of up to 300 megawatts of renewable energy to support Google's goal of reducing its carbon emissions, as well as those of its suppliers. The investment is intended to help build a large-scale solar pipeline in Taiwan, a country that currently depends on fossil fuels for nearly 85% of its power. </w:t>
      </w:r>
    </w:p>
    <w:p>
      <w:r>
        <w:t>Google’s cloud technology operations and data center in Taiwan significantly contribute to its energy demand. According to Amanda Peterson Corio, Google's Global Head of Data Center Energy, acquiring renewable energy in regions like Asia Pacific poses challenges due to less developed infrastructure and limitations on corporate green power purchases.</w:t>
      </w:r>
    </w:p>
    <w:p>
      <w:r>
        <w:t>David Giordano, BlackRock's Global Head of Climate Infrastructure, highlighted NGP's leading role in Taiwan’s solar energy sector. Although the precise size of Google's equity stake in NGP was not disclosed, Corio mentioned that the investment is set to facilitate the development of NGP's 1-gigawatt solar pipeline. Taiwan aims to achieve 20 gigawatts of solar capacity by 2025 and 80 gigawatts by 2050.</w:t>
      </w:r>
    </w:p>
    <w:p>
      <w:r>
        <w:t>Additionally, Google plans to offer some of the solar power it procures to its regional suppliers and manufacturers, aiding in the reduction of its Scope 3 emissions, which are emissions linked to its value chain.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