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Labour leader Anas Sarwar promotes green prosperity plan at Harland and Wolff site in Fife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Labour leader Anas Sarwar visited the Harland and Wolff site in Methil, Fife, on Monday to promote Labour's green prosperity plan ahead of the upcoming General Election. Accompanied by shadow Scottish secretary Ian Murray, Sarwar emphasized the potential of the Methil site for renewable energy projects. The Labour party's plan aims to create 650,000 jobs across the UK by 2030, focusing on investment in infrastructure for the renewables industry, including the development of offshore wind turbine structures.</w:t>
      </w:r>
    </w:p>
    <w:p>
      <w:r>
        <w:t>Sarwar highlighted the need for collaboration between the government and private companies like Harland and Wolff to achieve the full potential of the green prosperity plan. Labour's proposal includes the establishment of GB Energy, a publicly owned energy company headquartered in Scotland, to provide a return on investment for taxpayers and potentially fund local services in the future.</w:t>
      </w:r>
    </w:p>
    <w:p>
      <w:r>
        <w:t>Sarwar reaffirmed Labour's commitment to making Scotland a leader in green energy, aiming to deliver lower bills and supply security for the UK. He noted the importance of investing in port and supply chain infrastructure to support the renewable energy sector and create job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