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 for Unified Emissions Data Repository in Ports and Shipping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Industry stakeholders in the ports and shipping sector are increasingly recognizing the importance of measuring carbon emissions. According to Mr. Laurent, there is a need for a unified emissions data repository to ensure accuracy and consistency. Although different parameters are currently used across the industry, the trend towards standardized measurement is growing compared to a decade ago.</w:t>
      </w:r>
    </w:p>
    <w:p>
      <w:r>
        <w:t>In a related effort, the Association of Pacific Rim Universities (APRU) emphasized sustainability at its Annual Presidents’ Meeting, hosted by the University of Auckland. The event saw the participation of approximately 130 global delegates. APRU Chief Executive, Professor Thomas Schneider, announced the organization's decision to offset 420 tonnes of carbon emissions attributed to attendees' travel. This initiative is being executed through contributions to Canada’s BigCoast Forest Climate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