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Developments in Energy and Construction Projects - LDC's Soybean Processing Plant, New England Wind Project, and Shell's Biofuel Plant Pause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Key Developments in Energy and Construction Projects</w:t>
      </w:r>
    </w:p>
    <w:p>
      <w:r>
        <w:rPr>
          <w:b/>
        </w:rPr>
        <w:t>Soybean Processing Plant by Louis Dreyfus Co. (LDC) in Ohio</w:t>
      </w:r>
    </w:p>
    <w:p>
      <w:r>
        <w:t>Louis Dreyfus Co. (LDC) has commenced construction of a soybean processing facility in Upper Sandusky, Ohio. The groundbreaking ceremony took place on June 27. Scheduled for completion in March 2026, the plant will have the capacity to process 1.5 million tonnes of soybeans annually, generating 320,000 tonnes of soybean oil. The facility aims to bolster LDC’s footprint in markets for edible oil, animal feed, and renewable energy feedstocks. The site is expected to employ over 100 individuals and integrate into LDC’s regional industrial and logistics network.</w:t>
      </w:r>
    </w:p>
    <w:p>
      <w:r>
        <w:rPr>
          <w:b/>
        </w:rPr>
        <w:t>New England Wind Project Approved</w:t>
      </w:r>
    </w:p>
    <w:p>
      <w:r>
        <w:t>The Bureau of Ocean Energy Management (BOEM) has authorized Avangrid to proceed with the New England Wind project, consisting of New England 1 and New England 2, located over 20 miles south of Martha’s Vineyard. The projects are set to deliver 2,600 megawatts of energy, sufficient to power over 900,000 homes annually. The infrastructure includes up to 129 wind turbines, five electric service platforms, and associated offshore export cables landing in Barnstable and Bristol County. BOEM’s decision considered extensive feedback to mitigate potential impacts on marine life and other ocean uses.</w:t>
      </w:r>
    </w:p>
    <w:p>
      <w:r>
        <w:rPr>
          <w:b/>
        </w:rPr>
        <w:t>Shell Pauses Biofuel Plant in Rotterdam</w:t>
      </w:r>
    </w:p>
    <w:p>
      <w:r>
        <w:t>Shell has temporarily halted construction of its major biofuel plant in Rotterdam, the Netherlands. The plant, intended to produce 820,000 tonnes of biofuels annually, including sustainable aviation fuel (SAF) made from waste cooking oil and animal fat, faced technical challenges that led to the delay. Originally slated to be operational by April 2025, the decision to halt aims to address engineering and sequencing issues, ensuring capital discipline. However, this pause is a setback to Shell’s sustainable aviation ambitions amidst broader organizational adjustments and prioritizations in its green energy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