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UK Election: Analyzing Construction Industry Policies in Labour and Conservative Manifestos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UK Election: Construction Industry Policies Under Labour and Conservative Manifestos</w:t>
      </w:r>
    </w:p>
    <w:p>
      <w:r>
        <w:rPr>
          <w:b/>
        </w:rPr>
        <w:t>London, July 3, 2024</w:t>
      </w:r>
      <w:r>
        <w:t xml:space="preserve"> — As the UK approaches its general election on July 4, 2024, the outlook for the construction industry is at a critical juncture. Opinion polls suggest a likely victory for either the Labour or Conservative Party. This article examines the policies proposed by both parties regarding the construction sector.</w:t>
      </w:r>
    </w:p>
    <w:p>
      <w:r>
        <w:rPr>
          <w:b/>
        </w:rPr>
        <w:t>Challenges in Construction</w:t>
      </w:r>
    </w:p>
    <w:p>
      <w:r>
        <w:t>The construction industry is facing several major challenges:</w:t>
        <w:br/>
        <w:t>- Post-COVID austerity and the cancellation of large projects like HS2’s Northern leg.</w:t>
        <w:br/>
        <w:t>- An ageing workforce, with 35% over the age of 50 and a significant skills shortage requiring 937,000 recruits by 2032.</w:t>
        <w:br/>
        <w:t>- Rising material and transportation costs, partly due to global events.</w:t>
      </w:r>
    </w:p>
    <w:p>
      <w:r>
        <w:rPr>
          <w:b/>
        </w:rPr>
        <w:t>Conservative Party Policies</w:t>
      </w:r>
    </w:p>
    <w:p>
      <w:pPr>
        <w:pStyle w:val="ListBullet"/>
      </w:pPr>
      <w:r>
        <w:t>Housing</w:t>
      </w:r>
      <w:r>
        <w:t>: Build 1.6 million homes over the parliament term, launch a new Help to Buy scheme, and complete leasehold reform.</w:t>
      </w:r>
    </w:p>
    <w:p>
      <w:pPr>
        <w:pStyle w:val="ListBullet"/>
      </w:pPr>
      <w:r>
        <w:t>Planning</w:t>
      </w:r>
      <w:r>
        <w:t>: Amend laws to minimize judicial reviews and streamline planning processes. They plan to abolish 'nutrient neutrality' rules impacting 100,000 new homes.</w:t>
      </w:r>
    </w:p>
    <w:p>
      <w:pPr>
        <w:pStyle w:val="ListBullet"/>
      </w:pPr>
      <w:r>
        <w:t>Infrastructure</w:t>
      </w:r>
      <w:r>
        <w:t>: No Northern HS2 leg but £4.7bn for small projects in the North and Midlands.</w:t>
      </w:r>
    </w:p>
    <w:p>
      <w:pPr>
        <w:pStyle w:val="ListBullet"/>
      </w:pPr>
      <w:r>
        <w:t>Skills</w:t>
      </w:r>
      <w:r>
        <w:t>: Introduce 'Advanced British Standard' to replace A levels and T levels, and add 100,000 apprenticeships annually.</w:t>
      </w:r>
    </w:p>
    <w:p>
      <w:pPr>
        <w:pStyle w:val="ListBullet"/>
      </w:pPr>
      <w:r>
        <w:t>Net Zero</w:t>
      </w:r>
      <w:r>
        <w:t>: Increase heat pump grants and maintain net-zero targets, with new incentives for green investments.</w:t>
      </w:r>
    </w:p>
    <w:p>
      <w:r>
        <w:rPr>
          <w:b/>
        </w:rPr>
        <w:t>Labour Party Policies</w:t>
      </w:r>
    </w:p>
    <w:p>
      <w:pPr>
        <w:pStyle w:val="ListBullet"/>
      </w:pPr>
      <w:r>
        <w:t>Housing</w:t>
      </w:r>
      <w:r>
        <w:t>: Build 1.5 million homes in five years, focus on affordable housing, and establish 'Freedom to Buy' schemes.</w:t>
      </w:r>
    </w:p>
    <w:p>
      <w:pPr>
        <w:pStyle w:val="ListBullet"/>
      </w:pPr>
      <w:r>
        <w:t>Planning</w:t>
      </w:r>
      <w:r>
        <w:t>: Create new urban development corporations, introduce ‘grey belt’ land class, and hire 300 more planning officers.</w:t>
      </w:r>
    </w:p>
    <w:p>
      <w:pPr>
        <w:pStyle w:val="ListBullet"/>
      </w:pPr>
      <w:r>
        <w:t>Infrastructure</w:t>
      </w:r>
      <w:r>
        <w:t>: Fully committed to Northern Powerhouse Rail and integrate national infrastructure bodies for efficiency.</w:t>
      </w:r>
    </w:p>
    <w:p>
      <w:pPr>
        <w:pStyle w:val="ListBullet"/>
      </w:pPr>
      <w:r>
        <w:t>Skills</w:t>
      </w:r>
      <w:r>
        <w:t>: Reform the apprenticeship levy, enabling training funds for existing staff, and focus on green skills development.</w:t>
      </w:r>
    </w:p>
    <w:p>
      <w:pPr>
        <w:pStyle w:val="ListBullet"/>
      </w:pPr>
      <w:r>
        <w:t>Net Zero</w:t>
      </w:r>
      <w:r>
        <w:t>: Invest £15bn annually in green infrastructure, aim for a fully decarbonized power system by 2030, and intensify approvals for renewable projects.</w:t>
      </w:r>
    </w:p>
    <w:p>
      <w:r>
        <w:rPr>
          <w:b/>
        </w:rPr>
        <w:t>Implications</w:t>
      </w:r>
    </w:p>
    <w:p>
      <w:r>
        <w:t>Both parties emphasize different approaches to housing, planning, and infrastructure development. The election's outcome will significantly impact the construction industry's trajectory and its ability to meet current challenges.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