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Dependence on Russian Gas Shifts to LNG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European Dependence on Russian Gas Shifts to LNG</w:t>
      </w:r>
    </w:p>
    <w:p>
      <w:r>
        <w:t>Despite the European Union's significant reduction in dependence on Russian pipeline gas, the region is still sourcing part of its natural gas requirements from Russia in the form of liquefied natural gas (LNG). This continued reliance indirectly funds Russian activities, with British operators and insurers playing roles in facilitating these transactions.</w:t>
      </w:r>
    </w:p>
    <w:p>
      <w:pPr>
        <w:pStyle w:val="Heading3"/>
      </w:pPr>
      <w:r>
        <w:t>BKV Corp. to Sell CSG at Premium</w:t>
      </w:r>
    </w:p>
    <w:p>
      <w:r>
        <w:t>In Texas, BKV Corp., a leading natural gas producer in the Barnett Shale, has signed a contract to supply carbon sequestered gas (CSG) to a local facility at prices higher than the Henry Hub benchmark. CSG is regarded as having "Scope 1, 2, and 3 carbon-neutral" greenhouse gas emissions, meeting criteria set by the World Resources Institute's Greenhouse Gas Protocol for direct and indirect emission reductions.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