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Partanna Global Collaborates with Kaust to Enhance CO2 Removal in Concrete; LanzaTech and LanzaJet Launch CirculAir for Sustainable Aviation Fuel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Materials science company Partanna Global has partnered with King Abdullah University of Science and Technology (Kaust) to enhance the CO2 removal properties of Partanna’s concrete. This 12-month research initiative will integrate Partanna’s carbon-negative concrete with Kaust’s Direct Air Capture (DAC) technology.</w:t>
      </w:r>
    </w:p>
    <w:p>
      <w:r>
        <w:t>Partanna’s concrete uses a binder made from natural and recycled materials, eliminating the need for Portland Cement, which is responsible for 9% of global CO2 emissions. The binder is cured at room temperature and absorbs atmospheric CO2 over its lifecycle.</w:t>
      </w:r>
    </w:p>
    <w:p>
      <w:r>
        <w:t>The collaboration aims to support Saudi Vision 2030 and Saudi Green Initiative (SGI) by improving the carbon removal capacity of Partanna’s concrete. This follows Partanna’s successful test-run at SRM and recent collaborations with ROSHN Group and Diriyah Gate Development Authority.</w:t>
      </w:r>
    </w:p>
    <w:p>
      <w:r>
        <w:t>Separately, LanzaTech and LanzaJet have launched CirculAir, a solution converting waste, carbon, and renewable power into sustainable aviation fuel (SAF). CirculAir employs a gas fermentation-to-ethanol and alcohol-to-jet (ATJ) technology to produce SAF, potentially reducing aviation emissions by 85% and achieving carbon-negative results depending on the feedstock.</w:t>
      </w:r>
    </w:p>
    <w:p>
      <w:r>
        <w:t>CEO Jimmy Samartzis highlighted CirculAir's global impact, converting diverse waste sources into SAF to support the aviation sector’s net-zero emissions goal by 2050. The collaboration between LanzaTech and LanzaJet spans five continents, including projects in Australia, New Zealand, the UAE, and the UK.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