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Steel Corp. and LEGO Group Lead Sustainable Innovation with New Initiatives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Steel Corp. and LEGO Group Announce New Sustainability Initiatives</w:t>
      </w:r>
    </w:p>
    <w:p>
      <w:r>
        <w:rPr>
          <w:b/>
        </w:rPr>
        <w:t>U.S. Steel Corp. Report Highlights 2023 Sustainability Efforts</w:t>
      </w:r>
    </w:p>
    <w:p>
      <w:r>
        <w:t xml:space="preserve">On June 25, U.S. Steel Corp. released its 2023 Sustainability Report, titled "The Future of Steel." The report outlines the company's progress and strategic plans for reducing its carbon footprint, fostering innovation, and working towards net-zero greenhouse gas emissions by 2050 (Scopes 1 and 2). </w:t>
      </w:r>
    </w:p>
    <w:p>
      <w:r>
        <w:t>Key initiatives include partnerships with energy and technology companies, government agencies, non-profits, and universities to reduce emissions and develop carbon capture projects. A notable project is the collaboration with Molten Industries and the U.S. Department of Energy to achieve carbon-neutral steel production.</w:t>
      </w:r>
    </w:p>
    <w:p>
      <w:r>
        <w:t>In 2023, U.S. Steel launched the COASTALUME roofing and siding solution with DuPont and invested $150 million in its DR-grade pellet facility at the Minnesota Ore Operations taconite plant. The company also started producing Indux, a lightweight steel, at Big River Steel in Osceola, Arkansas. Future plans include completing Big River Steel 2, increasing solar power for Big River Steel Works, and new partnerships with the Energy Department.</w:t>
      </w:r>
    </w:p>
    <w:p>
      <w:r>
        <w:rPr>
          <w:b/>
        </w:rPr>
        <w:t>LEGO Group Launches Supplier Sustainability Programme</w:t>
      </w:r>
    </w:p>
    <w:p>
      <w:r>
        <w:t>The LEGO Group announced a new Supplier Sustainability Programme aimed at reducing the carbon emissions of its suppliers. The company has committed to reducing its emissions by 37% by 2032 and achieving net-zero by 2050. Over 99% of the LEGO Group's carbon emissions come from its supply chain.</w:t>
      </w:r>
    </w:p>
    <w:p>
      <w:r>
        <w:t>The programme requires suppliers to provide carbon data, set emission reduction targets for 2026 and 2028, and collaborate on actions to meet these goals. Starting in 2024, suppliers will need to share annual reports on their progress. The LEGO Group will support suppliers with training and sustainability expertise.</w:t>
      </w:r>
    </w:p>
    <w:p>
      <w:r>
        <w:t>Announced at a recent Supplier Summit, the programme builds on the LEGO Group's Engage-to-Reduce initiative from 2014. The company has increased its investment in environmental initiatives by 60% in 2023 to focus on sustainable materials, manufacturing technology, and its supply chain.</w:t>
      </w:r>
    </w:p>
    <w:p>
      <w:r>
        <w:t>Both U.S. Steel Corp. and the LEGO Group are making significant strides towards sustainability, with clear targets and strategies to reduce their environmental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