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Aecon Group Inc. Share Price Drops After Coastal GasLink Settlement; Liberal Democrat Leader Ed Davey Sees Surge in Favorability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Aecon Group Inc. experienced a significant share price drop after announcing a settlement in its dispute with Coastal GasLink, affecting its finances with a non-cash charge of $127 million. The dispute stemmed from Aecon’s work on the Coastal GasLink pipeline, a 670-kilometer project in British Columbia from Dawson Creek to Kitimat's LNG facility. The pipeline, completed last fall after five years, saw its budget swell from $6.2 billion to $14.5 billion, with TC Energy Corp. attributing the increase to labor costs, contractor issues, and environmental challenges.</w:t>
      </w:r>
    </w:p>
    <w:p>
      <w:r>
        <w:t>In a separate political development, Liberal Democrat leader Ed Davey has seen a notable rise in favorability during the 2024 general election campaign. Engaging in light-hearted stunts such as paddle boarding and bungee jumping, Davey’s favorability rating among Britons climbed from 15% to 30%, making him the only party leader to see a significant boost in public opinion during this period. Other leaders, including Rishi Sunak, Keir Starmer, and Nigel Farage, did not experience similar gains.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