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Christie's and BMW Making Strides in Sustainability Initiatives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Christie’s and BMW Report Progress on Sustainability Initiatives</w:t>
      </w:r>
    </w:p>
    <w:p>
      <w:r>
        <w:t>Christie's has published its fourth Environmental Impact Report for 2023, showing a 57% reduction in carbon emissions since 2019, despite an 11% rise year-on-year due to increased travel and shipping. The art and luxury business, the first major auction house to launch a sustainability strategy in 2021, has achieved emissions reductions in IT, buildings, and publishing. Notably, the company saw a 50% reduction in data center emissions by transitioning to a cloud-based system and improving e-waste recycling. Emissions from blockchain activities reduced by nearly 100% due to energy-efficient Proof-of-Stake mechanisms.</w:t>
      </w:r>
    </w:p>
    <w:p>
      <w:r>
        <w:t>Christie’s is currently awaiting validation of its 2050 plans from the Science Based Targets initiative (SBTi).</w:t>
      </w:r>
    </w:p>
    <w:p>
      <w:r>
        <w:t>Meanwhile, BMW, represented by Senior Vice President Hendrik Lang, showcased its sustainability efforts at London Climate Action Week. BMW has a long history of environmental initiatives, aiming to reduce overall carbon emissions by 40% by 2030 compared to 2019 and achieve net zero by 2050. The company focuses on decarbonizing its supply chain, especially in steel, aluminum, and battery production, achieving a reduction equivalent to 1.7 million tons of CO2 in 2023 through carbon-reduced contracts.</w:t>
      </w:r>
    </w:p>
    <w:p>
      <w:r>
        <w:t>Both companies demonstrate significant strides in sustainability, highlighting the importance of industry collaboration and systemic change.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