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Shell Netherlands Suspends Biofuels Site Construction in Response to Market Conditions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Shell Nederland Raffinaderij B.V., a subsidiary of Shell plc, has announced a temporary suspension of construction at its biofuels site in Shell Energy and Chemicals Park Rotterdam, Netherlands. This decision, driven by current market conditions, aims to reassess the project's cost and sequencing. The suspension will impact the facility’s 820,000 tonnes of annual biofuel production capacity and result in a reduction in the number of on-site contractors.</w:t>
      </w:r>
    </w:p>
    <w:p>
      <w:r>
        <w:t>Huibert Vigeveno, Director of Shell’s Downstream, Renewables and Energy Solutions division, indicated that this pause allows for a commercial evaluation of the project. Shell continues to commit to its target of achieving net-zero emissions by 2050, using measured shareholder capital to deliver value with lower emissions.</w:t>
      </w:r>
    </w:p>
    <w:p>
      <w:r>
        <w:t>The suspension reflects Shell’s strategic flexibility in adapting to fluctuations in the biofuels market, influenced by environmental policies, raw material prices, and technological advancements. This reassessment is seen as vital for optimizing costs and future project viability as the company navigates a competitive and evolving energy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