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Thiruvananthapuram City Corporation Explores Carbon Credit Trading to Promote Sustainability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Thiruvananthapuram city corporation is poised to explore carbon credit trading to reduce carbon emissions and promote sustainable practices. A carbon credit represents the avoidance or removal of one tonne of carbon dioxide or equivalent greenhouse gases. The initiative aims to generate revenue through trading carbon credits, as confirmed by an official source.</w:t>
      </w:r>
    </w:p>
    <w:p>
      <w:r>
        <w:t>The civic body plans to invite Expressions of Interest (EoI) for the implementation of this initiative, encompassing sectors like public transportation, construction, agriculture, and waste management. The objective is to reach carbon-neutral status by 2035.</w:t>
      </w:r>
    </w:p>
    <w:p>
      <w:r>
        <w:t>Inspired by Indore's adoption of carbon credit trading and the Union government’s policy on the matter, the Thiruvananthapuram corporation aims to implement this through public-private partnerships. No initial investments are planned; instead, baseline emission assessments will be conducted, and an independent body will validate the eligibility for carbon credits.</w:t>
      </w:r>
    </w:p>
    <w:p>
      <w:r>
        <w:t>Recently, a Memorandum of Understanding (MoU) with the World Resources Institute (WRI) was signed to study greenhouse emissions from the construction sector. The study is currently underway with recommendations for eco-friendly practices anticipated.</w:t>
      </w:r>
    </w:p>
    <w:p>
      <w:r>
        <w:t>In related news, Google's greenhouse gas emissions have risen by 48% since 2019 due to the energy consumption of AI data centers. Additionally, General Motors faces a $146 million fine for underreporting vehicle pollution levels, while Bolivia has announced the lifting of its cryptocurrency ban.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