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China's Methanol Initiative: A Bold Step Toward Carbon Neutrality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China's Methanol Initiative: A Bold Step Toward Carbon Neutrality</w:t>
      </w:r>
    </w:p>
    <w:p>
      <w:r>
        <w:t>China has embarked on an ambitious project to incorporate methanol as a mainstream fuel in automotive, industrial, and residential sectors, aiming to decentralize its energy sector and reduce oil dependency. Methanol, which can be produced from natural gas, carbon dioxide, biomass, or coal, has generated both excitement and concern globally.</w:t>
      </w:r>
    </w:p>
    <w:p>
      <w:r>
        <w:t>China’s methanol strategy involves a significant investment of $7.53 billion, prominently marked by a green methanol project led by Liquid Sunshine Energy Technology Co., Ltd, part of the Geely group. This project in Inner Mongolia’s Alxa League aims to produce 500,000 metric tons of low-carbon methanol annually, with potential for expansion.</w:t>
      </w:r>
    </w:p>
    <w:p>
      <w:r>
        <w:t>Critics highlight the environmental impact, noting that approximately 55% of methanol in China is currently coal-based, raising questions about its carbon neutrality goals. However, proponents argue that future advancements could enable methanol production from renewable sources, potentially offsetting its carbon footprint.</w:t>
      </w:r>
    </w:p>
    <w:p>
      <w:r>
        <w:t>As the world transitions away from fossil fuels, China’s methanol initiative could influence global energy policies. Other countries, including Germany and Denmark, are exploring similar options, viewing China’s approach as a potential model for sustainable fuel use. The success of this initiative will depend on overcoming technical, infrastructural, and environmental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