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Carbon Black Market: Projected Growth, Regional Dominance, and Key Trends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Global Carbon Black Market Growth Projection</w:t>
      </w:r>
    </w:p>
    <w:p>
      <w:r>
        <w:t>The global carbon black market, valued at USD 19.45 billion in 2023, is anticipated to reach approximately USD 34.83 billion by 2033, growing at a CAGR of 6%. Carbon black, produced from the incomplete combustion of coal tar, vegetable matter, or petroleum products, is extensively used in paints, ink pigments, polymers, tires, and other applications due to its reinforcing properties.</w:t>
      </w:r>
    </w:p>
    <w:p>
      <w:r>
        <w:t>Key insights from the Precedence Research report:</w:t>
      </w:r>
    </w:p>
    <w:p>
      <w:r>
        <w:rPr>
          <w:b/>
        </w:rPr>
        <w:t>Notable Developments:</w:t>
      </w:r>
    </w:p>
    <w:p>
      <w:pPr>
        <w:pStyle w:val="ListBullet"/>
      </w:pPr>
      <w:r>
        <w:t>Orion Engineered Carbons GmbH constructed a new factory in Huaibei, Anhui province, China, to meet the rising regional demand.</w:t>
      </w:r>
    </w:p>
    <w:p>
      <w:pPr>
        <w:pStyle w:val="ListBullet"/>
      </w:pPr>
      <w:r>
        <w:t>North American companies are investing in cleaner production technologies, emphasizing sustainable practices.</w:t>
      </w:r>
    </w:p>
    <w:p>
      <w:r>
        <w:rPr>
          <w:b/>
        </w:rPr>
        <w:t>Market Dynamics</w:t>
      </w:r>
      <w:r>
        <w:t>:</w:t>
      </w:r>
    </w:p>
    <w:p>
      <w:r>
        <w:rPr>
          <w:b/>
        </w:rPr>
        <w:t>Drivers</w:t>
      </w:r>
      <w:r>
        <w:t>: The versatility of carbon black across multiple sectors, including automotive, electronics, and environmental solutions, is a significant growth driver. Its use in enhancing tire performance and longevity plays a critical role in its widespread adoption.</w:t>
      </w:r>
    </w:p>
    <w:p>
      <w:r>
        <w:rPr>
          <w:b/>
        </w:rPr>
        <w:t>Restraints</w:t>
      </w:r>
      <w:r>
        <w:t>: Health concerns related to carbon black, including its carcinogenic properties, pose potential market constraints. Long-term exposure risks necessitate stringent regulatory measures.</w:t>
      </w:r>
    </w:p>
    <w:p>
      <w:r>
        <w:rPr>
          <w:b/>
        </w:rPr>
        <w:t>Opportunities</w:t>
      </w:r>
      <w:r>
        <w:t>: Recovered carbon black presents opportunities for eco-friendly applications in various industries, fostering sustainability and reducing carbon emissions.</w:t>
      </w:r>
    </w:p>
    <w:p>
      <w:r>
        <w:t>The market continues to evolve with new technological advancements and an increasing focus on sustainability across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