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Party's General Election Victory Sparks Stock Market Surge and Economic Optimism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UK stock markets experienced a positive uptick following the Labour Party's decisive victory in the general election, with Keir Starmer set to become the new Prime Minister. The FTSE 100 rose by 0.4%, while the FTSE 250, more focused on the domestic market, surged by 1.8%, reaching its highest level since April 2022. Analysts anticipate that Labour's win could bring stability to British politics and attract global investors, considering the current political volatility in the US and France. </w:t>
      </w:r>
    </w:p>
    <w:p>
      <w:r>
        <w:t>Housebuilding stocks saw significant gains, with companies like Persimmon and Vistry each rising by about 3%, driven by Labour's commitment to build 1.5 million new homes and reform planning rules. The pound also saw a slight increase, trading at $1.28 against the dollar.</w:t>
      </w:r>
    </w:p>
    <w:p>
      <w:r>
        <w:t>Labour's victory comes amid an improving economic backdrop. The UK has recovered from a shallow recession and posted a 0.7% GDP growth in the first quarter of 2024. Inflation has returned to the government's target of 2%, down from a peak of 11.1% in October 2022. The Bank of England is expected to begin cutting interest rates by August, potentially easing mortgage costs.</w:t>
      </w:r>
    </w:p>
    <w:p>
      <w:r>
        <w:t xml:space="preserve">Labour's focus on climate and economic growth is evident, with plans for significant investments in green energy and infrastructure. However, the new government faces challenges, including high national debt and stagnant economic growth. Labour's manifesto includes a £7.3 billion National Wealth Fund and a new publicly owned energy company, Great British Energy, aimed at decarbonizing the energy grid by 2030. </w:t>
      </w:r>
    </w:p>
    <w:p>
      <w:r>
        <w:t>Despite ambitious plans, economists remain skeptical about Labour's ability to balance investment and debt reduction without significant tax hikes or spending cuts. The party's modest proposals to improve post-Brexit trade relations with the EU are also seen as insufficient to mitigate the economic impact of Brexit.</w:t>
      </w:r>
    </w:p>
    <w:p>
      <w:r>
        <w:t>As Keir Starmer prepares to take office, investor and business communities will closely watch Labour's initial actions to gauge their effectiveness in revitalizing the UK's economy.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