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Party's Landslide Victory in UK Elections Sparks Industry Collaboration for Urban Renewal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Party Wins UK General Election; Architects Ready to Collaborate</w:t>
      </w:r>
    </w:p>
    <w:p>
      <w:r>
        <w:t>On July 5, 2024, the Labour Party secured a landslide victory, marking a significant shift in UK governance. Keir Starmer, the incoming Prime Minister, promised a national renewal and immediate action on various fronts, including ambitious homebuilding and urban planning reforms. Labour's manifesto commits to constructing 1.5 million homes and increasing social and affordable housing substantially over the next parliament. The party also intends to allow development on low-quality green-belt land and introduce new towns across the country.</w:t>
      </w:r>
    </w:p>
    <w:p>
      <w:r>
        <w:t>Architects and industry professionals have expressed readiness to support the new government in achieving its goals. Jay Morton, director at Bell Phillips, emphasized the necessity of industry collaboration to build high-quality, well-designed communities. Katie Fisher from CARD Projects highlighted the importance of professional expertise in addressing housing, decarbonization, and climate challenges.</w:t>
      </w:r>
    </w:p>
    <w:p>
      <w:r>
        <w:t>Additionally, Labour's victory is seen as an opportunity to advance the UK's transition to a green economy. Campaigners and experts, including representatives from Friends of the Earth and the Grantham Institute, urge the government to prioritize climate actions, such as decarbonizing the power sector and reforming planning for renewable energy projects.</w:t>
      </w:r>
    </w:p>
    <w:p>
      <w:r>
        <w:t>The election results underscore a strong public mandate for Labour's ambitious plans, with widespread industry and environmentalist support for immediate and decisive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