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Labour Party's UK General Election Victory Marks Bold Step Towards Sustainable Finance and Climate Action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Labour Party's recent victory in the UK general election signifies a major shift in the country's approach to sustainable finance and climate policy. Labour, led by Keir Starmer, aims to achieve net-zero greenhouse gas emissions from electricity generation by 2030. Key to this strategy will be Ed Miliband, appointed as Secretary of State for Energy Security and Net Zero, known for previously steering the Climate Change Act through Parliament in 2008.</w:t>
      </w:r>
    </w:p>
    <w:p>
      <w:r>
        <w:t>Labour's policy plans include mandating financial institutions and large corporations to disclose their transition plans toward a low-carbon economy, aligning with the Paris Agreement. The Bank of England will integrate climate change into its operational mandate under the new plans. Additionally, Labour plans to establish Great British Energy and the National Wealth Fund to stimulate private-sector investment in clean energy.</w:t>
      </w:r>
    </w:p>
    <w:p>
      <w:r>
        <w:t>Labour’s manifesto also promises to issue no new licenses for oil and gas exploration and to ban fracking permanently, emphasizing renewable energy development instead. This shift aims to create jobs in the clean energy sector and position the UK as a leader in climate action.</w:t>
      </w:r>
    </w:p>
    <w:p>
      <w:r>
        <w:t>This policy reorientation comes in response to public support for addressing climate change, reflected in Labour's electoral success. The UK's new direction under Labour could have significant implications for global climate policy and sustainable finance.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