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Party Unveils Ambitious Energy Overhaul Plans Following 2024 Election Triumph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UK Labour Party Pledges Major Overhaul in Energy Policy Post-2024 Election Victory</w:t>
      </w:r>
      <w:r/>
    </w:p>
    <w:p>
      <w:r/>
      <w:r>
        <w:t>Following a decisive win in the UK's 2024 General Election, the Labour Party, led by Sir Keir Starmer, has outlined ambitious plans to reshape the nation's energy landscape. Central to Labour's strategy is the creation of "Great British Energy," a publicly owned entity aimed at enhancing energy independence and affordability for British citizens.</w:t>
      </w:r>
      <w:r/>
    </w:p>
    <w:p>
      <w:r/>
      <w:r>
        <w:t>Labour's Green Prosperity Plan aims to address the climate crisis and stimulate economic growth by investing in future industries, with a target of creating 650,000 jobs by 2030. The new administration pledges to double onshore wind capacity, triple solar power, and quadruple offshore wind by the decade's end. The party will also oversee substantial investments in carbon capture and storage, hydrogen, and marine energy.</w:t>
      </w:r>
      <w:r/>
    </w:p>
    <w:p>
      <w:r/>
      <w:r>
        <w:t xml:space="preserve">A key component of Labour's policy involves ensuring the security of the UK's nuclear sector. The party plans to extend the operational lifespan of existing nuclear plants and expedite projects like Hinkley Point C and Sizewell C. </w:t>
      </w:r>
      <w:r/>
    </w:p>
    <w:p>
      <w:r/>
      <w:r>
        <w:t>Funding for these initiatives will partly come from a time-limited windfall tax levied on oil and gas companies, along with responsible borrowing within Labour's fiscal rules to attract private investment.</w:t>
      </w:r>
      <w:r/>
    </w:p>
    <w:p>
      <w:r/>
      <w:r>
        <w:t xml:space="preserve">The establishment of Great British Energy, which will co-invest in emerging technologies, aims to decentralize power production through the Local Power Plan, installing numerous clean energy projects across the country. </w:t>
      </w:r>
      <w:r/>
    </w:p>
    <w:p>
      <w:r/>
      <w:r>
        <w:t>On fossil fuels, Labour plans to halt the issuance of new oil and gas exploration licenses in the North Sea but will not revoke existing licenses. Labour also intends to exploit the UK's natural gas reserves strategically, while aiming to phase out coal mining.</w:t>
      </w:r>
      <w:r/>
    </w:p>
    <w:p>
      <w:r/>
      <w:r>
        <w:t>Labour's policies face skepticism from energy firms concerned about potential revenue impacts due to proposed taxation changes. Additionally, achieving a net-zero electricity grid by 2030 will necessitate extensive infrastructure upgrades, including modernizing the national grid to handle increased renewable energy production.</w:t>
      </w:r>
      <w:r/>
    </w:p>
    <w:p>
      <w:r/>
      <w:r>
        <w:t xml:space="preserve">Labour's leadership will also focus on providing transition opportunities for workers affected by the decline in oil and gas sectors, with significant investments in renewables offering potential new employment pathways. </w:t>
      </w:r>
      <w:r/>
    </w:p>
    <w:p>
      <w:r/>
      <w:r>
        <w:t>As the transition progresses, the new government emphasizes the importance of securing a phased and equitable shift to green energy, ensuring both energy security and economic viability.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