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Party Victory in UK 2024 Election Paves the Way for Green Energy and Infrastructure Overhaul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Party Wins UK 2024 General Election: Focus on Green Energy and Infrastructure</w:t>
      </w:r>
    </w:p>
    <w:p>
      <w:r>
        <w:t>After nearly five weeks of rigorous campaigning, the Labour Party led by Sir Keir Starmer has claimed victory in the 2024 UK General Election, ending a 14-year period of Conservative governance. The election saw Labour secure 362 seats, ushering in new policies aimed at reshaping the UK's energy landscape and infrastructure.</w:t>
      </w:r>
    </w:p>
    <w:p>
      <w:r>
        <w:rPr>
          <w:b/>
        </w:rPr>
        <w:t>Energy and Climate Initiatives</w:t>
      </w:r>
    </w:p>
    <w:p>
      <w:r>
        <w:t>A cornerstone of Labour’s agenda is the establishment of Great British Energy, a national entity to be owned by the British people. This organization aims to co-invest in renewable technologies, including wind, solar, and nuclear power, with a committed investment of over £8 billion during the upcoming parliament. Labour's Green Prosperity Plan promises to generate 650,000 jobs by 2030 through investments in future industries in collaboration with the National Wealth Fund.</w:t>
      </w:r>
    </w:p>
    <w:p>
      <w:r>
        <w:t>Labour has laid out an ambitious plan to double onshore wind capacity, triple solar power installations, and quadruple offshore wind projects by 2030. The new Energy Independence Act will provide the legislative framework for these initiatives.</w:t>
      </w:r>
    </w:p>
    <w:p>
      <w:r>
        <w:t>The new government also reiterated its stance against issuing new oil and gas licenses, focusing instead on maintaining existing reserves and ceasing the construction of new gas-fired plants. Labour plans to leverage a windfall tax on oil and gas companies, aiming to raise an additional £5 billion annually to fund these green initiatives.</w:t>
      </w:r>
    </w:p>
    <w:p>
      <w:r>
        <w:rPr>
          <w:b/>
        </w:rPr>
        <w:t>Infrastructure and Housing</w:t>
      </w:r>
    </w:p>
    <w:p>
      <w:r>
        <w:t>Labour’s manifesto commits to a comprehensive infrastructure upgrade, including a £6.6 billion investment in energy efficiency improvements for existing homes and the construction of 1.5 million new homes by the next parliament. The party also aims to fix an additional one million potholes and accelerate the rollout of electric vehicle charging stations by reinstating the 2030 phase-out date for new internal combustion engine vehicles.</w:t>
      </w:r>
    </w:p>
    <w:p>
      <w:r>
        <w:t>To support the construction sector, the Labour government plans to reform the planning system, prioritize the release of lower-quality 'grey belt' land, and invest heavily in green measures. This includes an allocation of £23.7 billion for decarbonization efforts.</w:t>
      </w:r>
    </w:p>
    <w:p>
      <w:r>
        <w:rPr>
          <w:b/>
        </w:rPr>
        <w:t>Labour's Industrial and Economic Policies</w:t>
      </w:r>
    </w:p>
    <w:p>
      <w:r>
        <w:t>Labour's economic strategy includes the creation of a National Wealth Fund worth £7.3 billion to invest in sectors like ports, car manufacturing, and carbon capture. The party has also pledged not to increase VAT, National Insurance, or income tax, while capping corporation tax at 25%.</w:t>
      </w:r>
    </w:p>
    <w:p>
      <w:r>
        <w:t>A significant focus will be placed on the UK's technology sector, with promises to support AI development, streamline data center construction, and enhance financial services through innovative regulation.</w:t>
      </w:r>
    </w:p>
    <w:p>
      <w:r>
        <w:rPr>
          <w:b/>
        </w:rPr>
        <w:t>Challenges Ahead</w:t>
      </w:r>
    </w:p>
    <w:p>
      <w:r>
        <w:t>Despite the ambitious and wide-ranging plans, Labour faces significant challenges in executing these policies. The energy sector, for example, is wary of the impact of new regulations and the feasibility of achieving these green targets within the proposed timeline. Additionally, industry commentators have raised concerns about the funding and logistical hurdles in expanding renewable energy infrastructure.</w:t>
      </w:r>
    </w:p>
    <w:p>
      <w:r>
        <w:t>Labour's commitment to ending new coal mining operations and its decision to halt the development of the £165 million Cumbria coal mine illustrates its pivot towards cleaner energy sources. However, there is apprehension within the energy sector regarding long-term investment viability under the new tax regimes and regulatory changes.</w:t>
      </w:r>
    </w:p>
    <w:p>
      <w:r>
        <w:rPr>
          <w:b/>
        </w:rPr>
        <w:t>Outlook</w:t>
      </w:r>
    </w:p>
    <w:p>
      <w:r>
        <w:t>As Labour takes the reins of government, its focus on a green transition, infrastructure improvements, and economic stability marks a significant shift in policy direction from the previous Conservative administration. The coming months will be critical in assessing the feasibility and impact of Labour’s ambitious plans.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