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Shell faces $2 billion write-down after refinery sale and plant suspension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Shell has announced it expects to incur a write-down of up to $2 billion following the sale of a refinery in Singapore and the suspension of a major biofuels plant in Rotterdam, Netherlands. The oil giant anticipates a financial impact ranging from $0.6 billion to $1 billion from halting construction at the Rotterdam site, initially approved in 2021 to produce 820,000 tonnes of biofuel annually.</w:t>
      </w:r>
    </w:p>
    <w:p>
      <w:r>
        <w:t>In Singapore, Shell foresees an impairment of $0.6 billion to $0.8 billion after selling assets, including a refinery and an ethylene cracker on Pulau Bukom Island, to a joint venture between Glencore and Chandra Asri Capital. These actions reflect Shell's strategy to balance investor returns with environmental commitments amid market pressures.</w:t>
      </w:r>
    </w:p>
    <w:p>
      <w:r>
        <w:t>Despite the setbacks, Shell predicts a slight increase in integrated gas production and upstream oil production for the second quarter. Earlier, the company reported a profit of £6.1 billion for the first quarter of 2024, buoyed by high Brent crude oil prices averaging $83 per barrel. Shell expects to finalize impairment figures at its second-quarter results on August 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