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urges UK to abandon net zero target amid legal and political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lead-up to the upcoming council elections in May, Reform party leader Nigel Farage has reignited debate by urging the UK government to abandon its legally binding target to achieve net zero carbon emissions by 2050. Farage compared the net zero agenda to “the new Brexit”, suggesting that parliament is "hopelessly out of touch with the country." His statements have generated significant media attention but have also raised questions about the complexities surrounding climate legislation and its interconnection with broader environmental protections and human rights obligations.</w:t>
      </w:r>
      <w:r/>
    </w:p>
    <w:p>
      <w:r/>
      <w:r>
        <w:t>Farage’s commentary comes at a time when climate policies are increasingly linked with legal frameworks involving human rights, notably through the European Convention on Human Rights (ECHR). Originally drafted and ratified primarily by European states, including the UK in 1951, the ECHR enshrines protections against discrimination and guarantees certain rights to individuals. Despite its origins predating the climate crisis, recent rulings by the European Court of Human Rights have expanded its purview.</w:t>
      </w:r>
      <w:r/>
    </w:p>
    <w:p>
      <w:r/>
      <w:r>
        <w:t>A landmark decision in April 2024 saw the Court rule against the Swiss government in a case brought by Verein KlimaSeniorinnen Schweiz (Senior Women for Climate Protection Switzerland) and four individuals. The plaintiffs contended that Switzerland’s insufficient climate policies violated their rights to life and health under Articles 2 and 8 of the ECHR, citing studies showing heatwave-related deaths attributable to human-induced climate change over the previous five decades. Additionally, complaints that Swiss courts had denied a fair trial and effective remedy were upheld under Articles 6 and 13 respectively.</w:t>
      </w:r>
      <w:r/>
    </w:p>
    <w:p>
      <w:r/>
      <w:r>
        <w:t>The ruling established legal criteria for evaluating national climate policies in relation to human rights, emphasizing requirements such as clear net zero target timetables, intermediate emission reduction goals, evidence of compliance, and timely adjustments based on scientific evidence. This judgment sets an important precedent for ECHR signatories, compelling them to implement robust legislative and administrative frameworks to protect public health and human life from climate risks.</w:t>
      </w:r>
      <w:r/>
    </w:p>
    <w:p>
      <w:r/>
      <w:r>
        <w:t>Further complicating matters, the UK's continued adherence to ECHR principles remains integral to its current trading relationship with the European Union. The North East Bylines publication highlights concerns that violating ECHR commitments could trigger a “no-deal Brexit” scenario, which would cause significant disruption to the UK economy and financial systems, surpassing previous crises such as the financial turmoil during Liz Truss’s brief premiership.</w:t>
      </w:r>
      <w:r/>
    </w:p>
    <w:p>
      <w:r/>
      <w:r>
        <w:t>The motivations behind Reform’s call to abandon net zero have been scrutinised, with reports from investigative journalist Peter Geoghegan indicating that the party’s major funding sources include affluent donors linked to Conservative and Brexit-supporting circles. Events such as a high-profile fundraising dinner in Mayfair raised substantial sums, bolstering the party’s finances considerably between 2023 and 2024. The formation of the organisation GB PAC, aiming to unite right-wing political efforts before forthcoming general elections, further illustrates the strategic backing Reform receives from prominent business figures, including Lord Bamford, owner of construction machinery multinational JCB.</w:t>
      </w:r>
      <w:r/>
    </w:p>
    <w:p>
      <w:r/>
      <w:r>
        <w:t>Farage’s policy proposals extend beyond climate issues. In an interview with The Sun, he advocated for the establishment of a British equivalent to the United States’ Department of Government Efficiency (DOGE), which operates under billionaire Elon Musk’s leadership. This department would reportedly oversee drastic cuts to local government spending and introduce rigorous audits of councils that fall under Reform’s control. Farage claimed, “The whole thing has to change. We need a British DOGE for every county and every local authority in this country.” However, the UK’s National Audit Office has previously highlighted that councils are already facing substantial funding shortfalls, particularly in social care, and warned that further budget reductions could jeopardise essential public services relied upon by many communities.</w:t>
      </w:r>
      <w:r/>
    </w:p>
    <w:p>
      <w:r/>
      <w:r>
        <w:t>The intertwining challenges of climate change and migration were also noted as pressing concerns. Environmental campaigners emphasise that climate impacts can force populations to relocate, increasing immigrant flows into regions such as the UK and Europe. The Reform party’s stance has been described as overlooking these complexities, with critics suggesting its policies lack attention to detail and fail to consider broader consequences.</w:t>
      </w:r>
      <w:r/>
    </w:p>
    <w:p>
      <w:r/>
      <w:r>
        <w:t>Recent environmental developments, such as the Dutch government’s announcement of additional measures to reinforce dykes against flood risks associated with prolonged dry weather, illustrate how climate damage is already prompting urgent adaptation strategies across Europe.</w:t>
      </w:r>
      <w:r/>
    </w:p>
    <w:p>
      <w:r/>
      <w:r>
        <w:t>As election day approaches, alternatives such as the Green Party propose not only environmental protection but also social policies like universal basic income. Meanwhile, Labour’s austerity measures continue to address economic pressures stemming from the legacy of Conservative governance and Brexit’s after-effects. North East Bylines stresses the importance of public awareness regarding the origins and implications of party policies and funding influences ahead of voting in May and the general election in 2029. The ongoing dialogue around net zero targets, human rights law, and governance efficiency reveals the multidimensional nature of political decisions impacting environmental, social, and economic futures in the UK.</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