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electric vehicle industry's road ahead under Trump administration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Under the evolving political and economic landscape of President Donald Trump’s second administration, the electric vehicle (EV) sector faces a period of significant uncertainty and adaptation. Companies that had previously set ambitious targets for all-electric fleets, such as Volvo, are reconsidering those goals, reflecting the complex intersection of policy shifts, market forces, and technological challenges shaping the industry's future.</w:t>
      </w:r>
      <w:r/>
    </w:p>
    <w:p>
      <w:r/>
      <w:r>
        <w:t>Volvo recently announced a softening of its target to become fully electric by 2030, a decision emblematic of wider industry recalibrations. The shift highlights the mounting difficulties automakers encounter as regulatory frameworks and economic incentives fluctuate. According to reports from salajobrazovanje.co.rs, the Trump administration’s approach to environmental policies has revived debates over key issues such as California’s waiver permitting stricter state emissions standards—a pivotal factor for accelerating EV integration. This waiver, which allows California to enforce more rigorous environmental regulations than those at the federal level, has become a political flashpoint, complicating the regulatory environment for automakers and suppliers.</w:t>
      </w:r>
      <w:r/>
    </w:p>
    <w:p>
      <w:r/>
      <w:r>
        <w:t>Economic incentives have also become less predictable. Emily Wirzba of the Environmental Defense Fund has drawn attention to the precarious status of federal electric vehicle tax credits, argued to be critical in making EV purchases economically attractive to consumers. In an interview with salajobrazovanje.co.rs, she noted, “The weeks ahead are crucial as these fiscal measures could redefine the adoption trajectory of electric vehicles.” This uncertainty affects not only automakers but also consumers who rely on such credits to offset the typically higher upfront costs associated with EVs.</w:t>
      </w:r>
      <w:r/>
    </w:p>
    <w:p>
      <w:r/>
      <w:r>
        <w:t>Trade policies and tariffs impose additional challenges. Industry leaders, such as Zack Ruderman of Orange EV and Asaf Nagler from ABB E-mobility, have expressed frustration at the constant need to adapt supply chain and manufacturing strategies amidst shifting tariffs and trade tensions. Ruderman described the sector’s situation as a “marathon in shifting sands,” where resilience depends on agility and strategic foresight. Nagler echoed these sentiments, emphasising that beyond ideological divides, electrification remains a matter of economic pragmatism.</w:t>
      </w:r>
      <w:r/>
    </w:p>
    <w:p>
      <w:r/>
      <w:r>
        <w:t>Despite these obstacles, several industry experts and environmental advocates maintain a cautiously optimistic outlook. Trisha DelloIacono of CALSTART voiced a sense of urgency mixed with determination: “Courage is required now more than ever in the face of an escalating climate crisis.” The ongoing dialogue at environmental journalism forums, such as the recent summit in Tempe, Arizona, reflects a collective recognition of the complex road ahead but also a commitment to finding innovative pathways towards sustainability.</w:t>
      </w:r>
      <w:r/>
    </w:p>
    <w:p>
      <w:r/>
      <w:r>
        <w:t>The automotive sector is taking concrete steps to adapt to this new reality. Practical strategies include diversifying investments across electric and hybrid technologies to mitigate regulatory volatility, advancing battery and alternative energy research and development, and strengthening public-private partnerships to enhance charging infrastructure. For instance, ABB E-mobility’s collaborations on electrification projects exemplify these efforts, aiming to build more stable growth avenues amid uncertain policies.</w:t>
      </w:r>
      <w:r/>
    </w:p>
    <w:p>
      <w:r/>
      <w:r>
        <w:t>Regions like California, with supportive environmental regulations, continue to act as important testbeds for successful EV integration. Such local initiatives offer models for broader national and international adoption, demonstrating that aligned policies can stimulate market growth and technological innovation despite federal uncertainties.</w:t>
      </w:r>
      <w:r/>
    </w:p>
    <w:p>
      <w:r/>
      <w:r>
        <w:t>Market forecasts remain broadly positive for the EV sector, with growing consumer awareness of climate change and advancements in battery technology expected to drive steady adoption rates moving forward. However, challenges such as the high initial costs of electric vehicles, charging infrastructure limitations, and the dependency on policy incentives to maintain momentum persist.</w:t>
      </w:r>
      <w:r/>
    </w:p>
    <w:p>
      <w:r/>
      <w:r>
        <w:t>In summary, the EV industry finds itself navigating a winding, foggy path where political shifts, economic pressures, and environmental imperatives intersect. The situation under the Trump administration demands increased adaptability and strategic foresight from all stakeholders. As salajobrazovanje.co.rs reports, the ability to harmonise technological innovation with pragmatic policy navigation will largely determine how successfully electric vehicles can fulfil their potential as a central pillar of future transportation and climate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https://www.automotivemanufacturingsolutions.com/evs/volvos-100-ev-strategy-shift-facing-the-unavoidable-truth/46095.article</w:t>
        </w:r>
      </w:hyperlink>
      <w:r>
        <w:t xml:space="preserve"> - This article supports the claim that Volvo has softened its goal to become fully electric by 2030, reflecting industry-wide challenges in meeting ambitious electrification targets due to market and policy changes.</w:t>
      </w:r>
      <w:r/>
    </w:p>
    <w:p>
      <w:pPr>
        <w:pStyle w:val="ListNumber"/>
        <w:spacing w:line="240" w:lineRule="auto"/>
        <w:ind w:left="720"/>
      </w:pPr>
      <w:r/>
      <w:hyperlink r:id="rId11">
        <w:r>
          <w:rPr>
            <w:color w:val="0000EE"/>
            <w:u w:val="single"/>
          </w:rPr>
          <w:t>https://www.volvocars.com/uk/news/electrification/volvo-plans-to-be-fully-electric-by-2030/</w:t>
        </w:r>
      </w:hyperlink>
      <w:r>
        <w:t xml:space="preserve"> - This webpage corroborates Volvo's original plan to be fully electric by 2030, providing context for the recent adjustments made in response to market and regulatory uncertainties.</w:t>
      </w:r>
      <w:r/>
    </w:p>
    <w:p>
      <w:pPr>
        <w:pStyle w:val="ListNumber"/>
        <w:spacing w:line="240" w:lineRule="auto"/>
        <w:ind w:left="720"/>
      </w:pPr>
      <w:r/>
      <w:hyperlink r:id="rId12">
        <w:r>
          <w:rPr>
            <w:color w:val="0000EE"/>
            <w:u w:val="single"/>
          </w:rPr>
          <w:t>https://www.federalregister.gov/documents/2024/11/15/2024-25534/negative-option-rule</w:t>
        </w:r>
      </w:hyperlink>
      <w:r>
        <w:t xml:space="preserve"> - While not directly related to EV policies, this Federal Register document illustrates how regulatory changes can impact various industries, including potentially the automotive sector, highlighting the broader context of policy instability affecting EV adoption.</w:t>
      </w:r>
      <w:r/>
    </w:p>
    <w:p>
      <w:pPr>
        <w:pStyle w:val="ListNumber"/>
        <w:spacing w:line="240" w:lineRule="auto"/>
        <w:ind w:left="720"/>
      </w:pPr>
      <w:r/>
      <w:hyperlink r:id="rId13">
        <w:r>
          <w:rPr>
            <w:color w:val="0000EE"/>
            <w:u w:val="single"/>
          </w:rPr>
          <w:t>https://www.edf.org</w:t>
        </w:r>
      </w:hyperlink>
      <w:r>
        <w:t xml:space="preserve"> - The Environmental Defense Fund's website provides background on environmental policies and regulations affecting the EV sector, aligning with discussions on the impact of policy shifts on electric vehicle adoption.</w:t>
      </w:r>
      <w:r/>
    </w:p>
    <w:p>
      <w:pPr>
        <w:pStyle w:val="ListNumber"/>
        <w:spacing w:line="240" w:lineRule="auto"/>
        <w:ind w:left="720"/>
      </w:pPr>
      <w:r/>
      <w:hyperlink r:id="rId14">
        <w:r>
          <w:rPr>
            <w:color w:val="0000EE"/>
            <w:u w:val="single"/>
          </w:rPr>
          <w:t>https://calstart.org</w:t>
        </w:r>
      </w:hyperlink>
      <w:r>
        <w:t xml:space="preserve"> - CALSTART's initiatives and advocacy for sustainable transportation highlight the ongoing efforts within the EV industry to adapt to regulatory challenges while promoting environmental sustainability and economic pragmatism.</w:t>
      </w:r>
      <w:r/>
    </w:p>
    <w:p>
      <w:pPr>
        <w:pStyle w:val="ListNumber"/>
        <w:spacing w:line="240" w:lineRule="auto"/>
        <w:ind w:left="720"/>
      </w:pPr>
      <w:r/>
      <w:hyperlink r:id="rId15">
        <w:r>
          <w:rPr>
            <w:color w:val="0000EE"/>
            <w:u w:val="single"/>
          </w:rPr>
          <w:t>https://abb.com/group/abb-e-mobility</w:t>
        </w:r>
      </w:hyperlink>
      <w:r>
        <w:t xml:space="preserve"> - ABB E-mobility’s projects showcase strategies for coping with policy uncertainties by advancing electric infrastructure and fostering partnerships, reflecting the sector’s strategic adaptability amidst regulatory volatility.</w:t>
      </w:r>
      <w:r/>
    </w:p>
    <w:p>
      <w:pPr>
        <w:pStyle w:val="ListNumber"/>
        <w:spacing w:line="240" w:lineRule="auto"/>
        <w:ind w:left="720"/>
      </w:pPr>
      <w:r/>
      <w:hyperlink r:id="rId16">
        <w:r>
          <w:rPr>
            <w:color w:val="0000EE"/>
            <w:u w:val="single"/>
          </w:rPr>
          <w:t>https://news.google.com/rss/articles/CBMiugFBVV95cUxQdm1Hd1Q0NGdpOXpEbFR6bEtHalRFb0pRaU5DR08wV1hvNDhEU1JCZ0NvVk5jdDVYN2RlOHdZMHcxam5sREt4V3BjYmJSMU5VSUMyRnR1WFA3b24xaVh0WnA0bTM5ZEk3eWNpeENTcmpwbS12S2x4UWhxQWFONWhSanFMX1JSMnZDckxTdmg2MW1HOFhDZTk3N2l0aEp6dmlaRy1uNnZwYlNmbC1jYlVQbmgxb2lKMmZQO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motivemanufacturingsolutions.com/evs/volvos-100-ev-strategy-shift-facing-the-unavoidable-truth/46095.article" TargetMode="External"/><Relationship Id="rId11" Type="http://schemas.openxmlformats.org/officeDocument/2006/relationships/hyperlink" Target="https://www.volvocars.com/uk/news/electrification/volvo-plans-to-be-fully-electric-by-2030/" TargetMode="External"/><Relationship Id="rId12" Type="http://schemas.openxmlformats.org/officeDocument/2006/relationships/hyperlink" Target="https://www.federalregister.gov/documents/2024/11/15/2024-25534/negative-option-rule" TargetMode="External"/><Relationship Id="rId13" Type="http://schemas.openxmlformats.org/officeDocument/2006/relationships/hyperlink" Target="https://www.edf.org" TargetMode="External"/><Relationship Id="rId14" Type="http://schemas.openxmlformats.org/officeDocument/2006/relationships/hyperlink" Target="https://calstart.org" TargetMode="External"/><Relationship Id="rId15" Type="http://schemas.openxmlformats.org/officeDocument/2006/relationships/hyperlink" Target="https://abb.com/group/abb-e-mobility" TargetMode="External"/><Relationship Id="rId16" Type="http://schemas.openxmlformats.org/officeDocument/2006/relationships/hyperlink" Target="https://news.google.com/rss/articles/CBMiugFBVV95cUxQdm1Hd1Q0NGdpOXpEbFR6bEtHalRFb0pRaU5DR08wV1hvNDhEU1JCZ0NvVk5jdDVYN2RlOHdZMHcxam5sREt4V3BjYmJSMU5VSUMyRnR1WFA3b24xaVh0WnA0bTM5ZEk3eWNpeENTcmpwbS12S2x4UWhxQWFONWhSanFMX1JSMnZDckxTdmg2MW1HOFhDZTk3N2l0aEp6dmlaRy1uNnZwYlNmbC1jYlVQbmgxb2lKMmZQO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