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neglect endangers UK farming’s future, echoing Titanic’s peril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tragic sinking of the RMS Titanic serves as a powerful metaphor for contemporary issues in UK agriculture, highlighted by the urgent need for enhanced food and environmental security. In the aftermath of the disaster, recommendations mandated sufficient lifeboat capacity for all aboard. However, the Titanic had only enough lifeboats for half of those on board, not due to overconfidence in her unsinkability, but because legal standards had not yet caught up with the potential repercussions of neglect. Today, we stand at a similar inflection point in our agricultural policies, where the risks posed by governmental neglect threaten both our capacity to feed ourselves and the vitality of our ecosystem.</w:t>
      </w:r>
      <w:r/>
    </w:p>
    <w:p>
      <w:r/>
      <w:r>
        <w:t>As echoed by many within the agricultural community, including myself, there is a pressing need for proactive governance. The lessons from the past should drive us to safeguard our agricultural sector against the threats of neglect and underfunding. Increasingly, the fragility of our food systems mirrors historical lessons, as echoed by the warnings of past crises when strategic planning was absent. The parallels to the 1930s are stark; an era marked by a government unprepared for the twin challenges of conflict and food security, leading to calls for a more resilient approach.</w:t>
      </w:r>
      <w:r/>
    </w:p>
    <w:p>
      <w:r/>
      <w:r>
        <w:t>Recent developments suggest that the government's current trajectory may hinder rather than help. Alistair Carmichael, chair of Parliament's environment committee, has criticised a fragmented approach within the Department for Environment, Food and Rural Affairs, pointing to ongoing protests from farmers against harsh financial reforms like the proposed inheritance tax on agricultural land. These reforms could generate substantial revenue for the Treasury, estimated at £500 million annually by the late 2020s, yet they risk alienating a key stakeholder in the nation’s food production ecosystem.</w:t>
      </w:r>
      <w:r/>
    </w:p>
    <w:p>
      <w:r/>
      <w:r>
        <w:t>Moreover, the government’s framework for land use faces scrutiny from the farming community, which fears that shifting vast areas of farmland toward rewilding and biofuel production could leave the UK more reliant on imported food. Current estimates indicate that to meet climate targets, nearly 10% of English farmland will need repurposing—about 760,000 hectares. These ambitious targets, while necessary, are met with resistance from those within the sector who feel that their livelihoods are now at the mercy of bureaucratic overreach.</w:t>
      </w:r>
      <w:r/>
    </w:p>
    <w:p>
      <w:r/>
      <w:r>
        <w:t>Contrary to the government's passive approach, the agricultural community is prepared to collaborate in addressing these dual crises of food and environmental security. Initiatives like Environmental Land Management schemes, while aimed at incentivising sustainable farming practices, have sparked concern that they could inadvertently constrict food production. The emphasis on ecological services must be balanced with the imperative of ensuring food self-sufficiency.</w:t>
      </w:r>
      <w:r/>
    </w:p>
    <w:p>
      <w:r/>
      <w:r>
        <w:t>The view that environmental management and agricultural productivity are mutually exclusive is increasingly being challenged. There is a growing recognition, exemplified in transformative projects such as those on the Rothbury Estate, that aligning ecological restoration with agricultural practices can produce benefits for both farmers and the environment. Under the right conditions, farmers could be compensated for their contributions to conservation, fostering a spirit of partnership rather than confrontation. However, existing policies appear disconnected from the reality on the ground, leading to calls for a more coherent and integrated strategy that prioritises food security alongside environmental objectives.</w:t>
      </w:r>
      <w:r/>
    </w:p>
    <w:p>
      <w:r/>
      <w:r>
        <w:t>With history as a backdrop and crisis as our current reality, the plea to the government is clear: engage with farmers in meaningful dialogue and adopt a collaborative approach. A sustainable future cannot be realised through unilateral decisions disconnected from those who will implement them. There exists a rare opportunity not just to avert impending crises, but to create a legacy of collaboration and success, transforming current challenges into a precedent we can all be proud of.</w:t>
      </w:r>
      <w:r/>
    </w:p>
    <w:p>
      <w:pPr>
        <w:pBdr>
          <w:bottom w:val="single" w:sz="6" w:space="1" w:color="auto"/>
        </w:pBdr>
      </w:pPr>
      <w:r/>
    </w:p>
    <w:p>
      <w:pPr>
        <w:pStyle w:val="Heading3"/>
      </w:pPr>
      <w:r>
        <w:t>Reference Map</w:t>
      </w:r>
      <w:r/>
    </w:p>
    <w:p>
      <w:r/>
      <w:r>
        <w:t>1: Paragraphs 1-2</w:t>
        <w:br/>
      </w:r>
      <w:r>
        <w:t>2: Paragraph 3</w:t>
        <w:br/>
      </w:r>
      <w:r>
        <w:t>4: Paragraph 4</w:t>
        <w:br/>
      </w:r>
      <w:r>
        <w:t>5: Paragraphs 5-6</w:t>
        <w:br/>
      </w:r>
      <w:r>
        <w:t>6: Paragraph 7</w:t>
        <w:br/>
      </w:r>
      <w:r>
        <w:t xml:space="preserve">7: Paragraph 8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https://www.fwi.co.uk/news/opinion/opinion-a-sustainable-future-will-soon-slip-beyond-our-grasp?fw_source=home_opinion</w:t>
        </w:r>
      </w:hyperlink>
      <w:r>
        <w:t xml:space="preserve"> - Please view link - unable to able to access data</w:t>
      </w:r>
      <w:r/>
    </w:p>
    <w:p>
      <w:pPr>
        <w:pStyle w:val="ListNumber"/>
        <w:spacing w:line="240" w:lineRule="auto"/>
        <w:ind w:left="720"/>
      </w:pPr>
      <w:r/>
      <w:hyperlink r:id="rId10">
        <w:r>
          <w:rPr>
            <w:color w:val="0000EE"/>
            <w:u w:val="single"/>
          </w:rPr>
          <w:t>https://www.fwi.co.uk/news/opinion/opinion-a-sustainable-future-will-soon-slip-beyond-our-grasp?fw_source=home_opinion</w:t>
        </w:r>
      </w:hyperlink>
      <w:r>
        <w:t xml:space="preserve"> - In this opinion piece, Joe Stanley, head of sustainable farming at the Game and Wildlife Conservation Trust’s Allerton Project, draws parallels between the Titanic disaster and current challenges in UK agriculture. He highlights the insufficient lifeboat capacity on the Titanic, which led to significant loss of life, and compares it to the UK's agricultural sector, which he believes is facing neglect and underfunding. Stanley emphasizes the need for government action to ensure food and environmental security, urging policymakers to engage with farmers to achieve a sustainable future.</w:t>
      </w:r>
      <w:r/>
    </w:p>
    <w:p>
      <w:pPr>
        <w:pStyle w:val="ListNumber"/>
        <w:spacing w:line="240" w:lineRule="auto"/>
        <w:ind w:left="720"/>
      </w:pPr>
      <w:r/>
      <w:hyperlink r:id="rId11">
        <w:r>
          <w:rPr>
            <w:color w:val="0000EE"/>
            <w:u w:val="single"/>
          </w:rPr>
          <w:t>https://en.wikipedia.org/wiki/Lifeboats_of_the_Titanic</w:t>
        </w:r>
      </w:hyperlink>
      <w:r>
        <w:t xml:space="preserve"> - This Wikipedia article provides detailed information about the lifeboats on the RMS Titanic. It describes the types and capacities of the lifeboats, noting that Titanic carried 20 lifeboats, including 14 standard wooden lifeboats with a capacity of 65 people each, and four collapsible lifeboats with a capacity of 47 people each. The article also discusses the reasons behind the lifeboats being only partially filled during the disaster and the subsequent changes in maritime safety regulations following the sinking.</w:t>
      </w:r>
      <w:r/>
    </w:p>
    <w:p>
      <w:pPr>
        <w:pStyle w:val="ListNumber"/>
        <w:spacing w:line="240" w:lineRule="auto"/>
        <w:ind w:left="720"/>
      </w:pPr>
      <w:r/>
      <w:hyperlink r:id="rId12">
        <w:r>
          <w:rPr>
            <w:color w:val="0000EE"/>
            <w:u w:val="single"/>
          </w:rPr>
          <w:t>https://www.ft.com/content/a753d6c4-939e-4995-950c-07eb7a80f88f</w:t>
        </w:r>
      </w:hyperlink>
      <w:r>
        <w:t xml:space="preserve"> - Alistair Carmichael, chair of Parliament's environment committee, calls for a strategic rural policy in the UK to address growing dissatisfaction among farming and fishing communities. Farmers demonstrated in London against Labour's inheritance tax reforms, which will impose a 20 percent tax on agricultural land exceeding certain thresholds. These reforms are expected to raise £500 million annually for the Treasury by 2027-29 but have sparked considerable anger among farmers who fear being forced to sell land. Additional challenges for the farming sector include climate change costs, reduced subsidies, and high inflation. Carmichael criticized the fragmented approach of the Department for Environment, Food and Rural Affairs and suggested adopting policies to ensure domestic food production and reconsidering exemptions for inheritance tax. The government reaffirmed its commitment to rural communities, outlining a £5 billion investment in farming over the next two years.</w:t>
      </w:r>
      <w:r/>
    </w:p>
    <w:p>
      <w:pPr>
        <w:pStyle w:val="ListNumber"/>
        <w:spacing w:line="240" w:lineRule="auto"/>
        <w:ind w:left="720"/>
      </w:pPr>
      <w:r/>
      <w:hyperlink r:id="rId13">
        <w:r>
          <w:rPr>
            <w:color w:val="0000EE"/>
            <w:u w:val="single"/>
          </w:rPr>
          <w:t>https://www.ft.com/content/9581872d-d6b8-4db4-b58f-698507644ddc</w:t>
        </w:r>
      </w:hyperlink>
      <w:r>
        <w:t xml:space="preserve"> - According to recent UK government estimates, nearly 10% of England's farmland will need to be converted to low-carbon uses like woodland or heath by 2050 to meet the country's climate targets. This represents approximately 760,000 hectares, with an additional 9% required to adopt sustainable farming practices. The National Farmers' Union (NFU) has expressed concerns that the agricultural sector is already scaling back food production for alternatives like rewilding and biofuel crops, potentially increasing the UK's reliance on imported food. The government aims to balance competing demands through a new land use framework, prioritizing food production while encouraging sustainable practices. Though the framework's introduction is seen as necessary, it has faced resistance from farmers worried about prescriptive regulations and potential impacts on food self-sufficiency. Notably, the Environmental Land Management schemes (ELMs) offer payments for sustainable practices but have been critiqued for potentially reducing food production. The government emphasizes that the framework is not about dictating land use but involves a national conversation to maximize land potential.</w:t>
      </w:r>
      <w:r/>
    </w:p>
    <w:p>
      <w:pPr>
        <w:pStyle w:val="ListNumber"/>
        <w:spacing w:line="240" w:lineRule="auto"/>
        <w:ind w:left="720"/>
      </w:pPr>
      <w:r/>
      <w:hyperlink r:id="rId14">
        <w:r>
          <w:rPr>
            <w:color w:val="0000EE"/>
            <w:u w:val="single"/>
          </w:rPr>
          <w:t>https://www.ft.com/content/17a3d2b3-5e1c-4384-a060-a574a9f828d3</w:t>
        </w:r>
      </w:hyperlink>
      <w:r>
        <w:t xml:space="preserve"> - Natural England Chair Tony Juniper advocates ending the perceived conflict between environmental conservation and agriculture, emphasizing that both can coexist if farmers are compensated for ecological services. Juniper’s remarks come amid a transformative project on the Rothbury Estate in Northumberland, where 3,500 acres previously used for sheep farming and grouse shooting were sold to the Wildlife Trusts for ecological restoration. The initiative is part of the UK’s broader ambition to protect 30% of land and sea and halt biodiversity loss by 2030. However, farmers, especially in upland regions, express concern over reduced food production, declining incomes, and changing government support schemes. The National Farmers Union warns that current policies lack food production targets and risk farm closures. Tensions have also escalated over Natural England’s new powers under the planning bill, including the potential for compulsory land purchases. Juniper counters that such measures are last resorts and stresses the importance of valuing non-food landscapes for their broader environmental contributions. Despite political pressure to prioritize economic growth over environmental protection, Juniper asserts that agencies like Natural England are crucial for restoring the UK’s natural infrastructure.</w:t>
      </w:r>
      <w:r/>
    </w:p>
    <w:p>
      <w:pPr>
        <w:pStyle w:val="ListNumber"/>
        <w:spacing w:line="240" w:lineRule="auto"/>
        <w:ind w:left="720"/>
      </w:pPr>
      <w:r/>
      <w:hyperlink r:id="rId15">
        <w:r>
          <w:rPr>
            <w:color w:val="0000EE"/>
            <w:u w:val="single"/>
          </w:rPr>
          <w:t>https://www.ft.com/content/61122669-3a01-419a-b32f-e9babb722cf9</w:t>
        </w:r>
      </w:hyperlink>
      <w:r>
        <w:t xml:space="preserve"> - The recently announced US-UK trade agreement under President Donald Trump remains largely undefined and non-binding, raising significant concerns across multiple sectors. The five-page outline, negotiated in six weeks, offers limited details, primarily highlighting a tariff-free beef quota and the removal of a 19% UK tariff on US bioethanol. The pact prompts ambiguity about its scope, particularly in bioethanol use and standards recognition, which could affect UK farmers and biofuel producers. The lack of clarity extends to pharmaceutical tariffs, steel and aluminium quotas, supply chain security, and aerospace trade terms—critical to sectors with deeply interconnected supply routes. Industry representatives from sectors including agriculture, pharmaceuticals, steel, and aerospace warn of market uncertainty and potential disruption as they await concrete details. Specifically, UK Steel and aerospace firms expressed concerns about undefined conditions and tariff coverage on component parts. Moreover, trade and standards experts caution that this vague agreement risks divergence from established EU norms, potentially complicating the UK’s future EU relations. Overall, despite claims of economic opportunity, the deal is seen predominantly as a political gesture requiring extensive follow-up negotiations to ensure sector-specific clarity and safeguard UK industry competitiveness.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wi.co.uk/news/opinion/opinion-a-sustainable-future-will-soon-slip-beyond-our-grasp?fw_source=home_opinion" TargetMode="External"/><Relationship Id="rId11" Type="http://schemas.openxmlformats.org/officeDocument/2006/relationships/hyperlink" Target="https://en.wikipedia.org/wiki/Lifeboats_of_the_Titanic" TargetMode="External"/><Relationship Id="rId12" Type="http://schemas.openxmlformats.org/officeDocument/2006/relationships/hyperlink" Target="https://www.ft.com/content/a753d6c4-939e-4995-950c-07eb7a80f88f" TargetMode="External"/><Relationship Id="rId13" Type="http://schemas.openxmlformats.org/officeDocument/2006/relationships/hyperlink" Target="https://www.ft.com/content/9581872d-d6b8-4db4-b58f-698507644ddc" TargetMode="External"/><Relationship Id="rId14" Type="http://schemas.openxmlformats.org/officeDocument/2006/relationships/hyperlink" Target="https://www.ft.com/content/17a3d2b3-5e1c-4384-a060-a574a9f828d3" TargetMode="External"/><Relationship Id="rId15" Type="http://schemas.openxmlformats.org/officeDocument/2006/relationships/hyperlink" Target="https://www.ft.com/content/61122669-3a01-419a-b32f-e9babb722cf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