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Net-zero ambitions expose economic and practical challenges for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October 2008, the UK Parliament passed the landmark Climate Change Act, which mandated the reduction of greenhouse gas emissions to at least 80% below 1990 levels by 2050. This act was notable for its cross-party support, as only five MPs opposed it. However, the political landscape shifted in 2019 when, through secondary legislation and minimal debate, this target was amended to a more ambitious net-zero goal, requiring that any greenhouse gases emitted must be fully offset by removals from the atmosphere. This change, while celebrated by environmentalists, has sparked significant debate regarding its feasibility, economic implications, and broader environmental impact.</w:t>
      </w:r>
      <w:r/>
    </w:p>
    <w:p>
      <w:r/>
      <w:r>
        <w:t>Critics argue that the net-zero strategy is fundamentally unachievable. An advanced economy like the UK’s is heavily reliant on fossil fuels, not only for energy but also for the vast range of products from nitrogen fertilisers and plastics to cement and pharmaceuticals, many of which are crucial for both household and industrial needs. The development of commercially viable alternatives to these fossil fuel-derived products remains a significant challenge. Furthermore, while wind power is touted as a clean energy solution, it presents challenges such as high construction and operational costs, energy intermittency issues, and the substantial infrastructural requirements necessary to establish a stable, high-voltage grid.</w:t>
      </w:r>
      <w:r/>
    </w:p>
    <w:p>
      <w:r/>
      <w:r>
        <w:t>The skills shortage exacerbates these issues; there are insufficient quantities of skilled tradespeople required to support the rapid transition towards renewable energy and infrastructure upgrades. As the government plans massive house building efforts and the rollout of electric vehicles and heat pumps, the lack of qualified personnel could severely hinder progress towards the net-zero goals.</w:t>
      </w:r>
      <w:r/>
    </w:p>
    <w:p>
      <w:r/>
      <w:r>
        <w:t>Beyond the operational feasibility, the potential economic ramifications are dire. Estimates suggest that achieving net zero could cost several trillion pounds, a financial burden that would likely fall on households and businesses already grappling with high living costs. The UK currently faces some of the highest electricity prices among developed nations, in part due to the costs associated with renewable energy subsidies and the necessary backup systems to mitigate energy intermittency. Such financial pressures threaten not just individual households but also the broader economy, raising alarms about the UK's international credit standing.</w:t>
      </w:r>
      <w:r/>
    </w:p>
    <w:p>
      <w:r/>
      <w:r>
        <w:t>Moreover, as the UK reduces its domestic fossil fuel production, it increases its dependency on foreign energy sources, particularly amidst an unstable global geopolitical climate. The closure of North Sea oil and gas facilities raises concerns over reliance on imported natural gas, often from countries with less stringent environmental regulations. This dependency is further complicated by concerns about securing essential materials for renewable technologies, which are largely controlled by nations like China. This situation not only increases vulnerability to resource shortages but also heightens risks related to geopolitical tensions and sabotage.</w:t>
      </w:r>
      <w:r/>
    </w:p>
    <w:p>
      <w:r/>
      <w:r>
        <w:t>The environmental impacts of pursuing a net-zero strategy also warrant scrutiny. While focusing on reducing emissions locally, the UK is inadvertently exporting harmful industrial practices to countries with weaker environmental laws. This paradox leads to an increase in global emissions rather than a reduction, as production shifts overseas to regions primarily reliant on coal energy. This critique is often underscored by the fact that major contributors to global greenhouse gases—including the United States and many developing nations—remain outside stringent emissions commitments, undermining the effectiveness of the UK's unilateral efforts.</w:t>
      </w:r>
      <w:r/>
    </w:p>
    <w:p>
      <w:r/>
      <w:r>
        <w:t>In light of these complexities, the assertion that the UK’s objectives under the net-zero policy are beneficial or progressive appears increasingly tenuous. Critics emphasize that without a comprehensive, financially viable, and realistically achievable plan, pushing forward with these targets might result in economic decline rather than sustainable environmental improvement. As the discussion around climate policy evolves, it is crucial to balance ambition with practicality, ensuring that future strategies do not inadvertently compromise economic stability while seeking to address climate challenges.</w:t>
      </w:r>
      <w:r/>
    </w:p>
    <w:p>
      <w:r/>
      <w:r>
        <w:t>The dialogue surrounding the UK's net-zero policy is dynamic and remains contentious, reflecting broader societal tensions concerning climate action, economic growth, and national resilience. As the political landscape shifts, with sentiments emerging from various factions, it remains to be seen how this balancing act will evolve in the face of significant pressure both domestically and globally.</w:t>
      </w:r>
      <w:r/>
    </w:p>
    <w:p>
      <w:pPr>
        <w:pBdr>
          <w:bottom w:val="single" w:sz="6" w:space="1" w:color="auto"/>
        </w:pBdr>
      </w:pPr>
      <w:r/>
    </w:p>
    <w:p>
      <w:r/>
      <w:r>
        <w:rPr>
          <w:b/>
        </w:rPr>
        <w:t>Reference Map</w:t>
      </w:r>
      <w:r>
        <w:t>:</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p>
    <w:p>
      <w:pPr>
        <w:pStyle w:val="ListNumber"/>
        <w:spacing w:line="240" w:lineRule="auto"/>
        <w:ind w:left="720"/>
      </w:pPr>
      <w:r/>
      <w:r>
        <w:t xml:space="preserve">Paragraph 2: Sources </w:t>
      </w:r>
      <w:hyperlink r:id="rId9">
        <w:r>
          <w:rPr>
            <w:color w:val="0000EE"/>
            <w:u w:val="single"/>
          </w:rPr>
          <w:t>[1]</w:t>
        </w:r>
      </w:hyperlink>
      <w:r>
        <w:t xml:space="preserve">, </w:t>
      </w:r>
      <w:hyperlink r:id="rId12">
        <w:r>
          <w:rPr>
            <w:color w:val="0000EE"/>
            <w:u w:val="single"/>
          </w:rPr>
          <w:t>[2]</w:t>
        </w:r>
      </w:hyperlink>
      <w:r/>
    </w:p>
    <w:p>
      <w:pPr>
        <w:pStyle w:val="ListNumber"/>
        <w:spacing w:line="240" w:lineRule="auto"/>
        <w:ind w:left="720"/>
      </w:pPr>
      <w:r/>
      <w:r>
        <w:t xml:space="preserve">Paragraph 3: Sources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4: Sources </w:t>
      </w:r>
      <w:hyperlink r:id="rId9">
        <w:r>
          <w:rPr>
            <w:color w:val="0000EE"/>
            <w:u w:val="single"/>
          </w:rPr>
          <w:t>[1]</w:t>
        </w:r>
      </w:hyperlink>
      <w:r>
        <w:t xml:space="preserve">, </w:t>
      </w:r>
      <w:hyperlink r:id="rId14">
        <w:r>
          <w:rPr>
            <w:color w:val="0000EE"/>
            <w:u w:val="single"/>
          </w:rPr>
          <w:t>[4]</w:t>
        </w:r>
      </w:hyperlink>
      <w:r/>
    </w:p>
    <w:p>
      <w:pPr>
        <w:pStyle w:val="ListNumber"/>
        <w:spacing w:line="240" w:lineRule="auto"/>
        <w:ind w:left="720"/>
      </w:pPr>
      <w:r/>
      <w:r>
        <w:t xml:space="preserve">Paragraph 5: Sources </w:t>
      </w:r>
      <w:hyperlink r:id="rId9">
        <w:r>
          <w:rPr>
            <w:color w:val="0000EE"/>
            <w:u w:val="single"/>
          </w:rPr>
          <w:t>[1]</w:t>
        </w:r>
      </w:hyperlink>
      <w:r>
        <w:t xml:space="preserve">, </w:t>
      </w:r>
      <w:hyperlink r:id="rId15">
        <w:r>
          <w:rPr>
            <w:color w:val="0000EE"/>
            <w:u w:val="single"/>
          </w:rPr>
          <w:t>[3]</w:t>
        </w:r>
      </w:hyperlink>
      <w:r/>
    </w:p>
    <w:p>
      <w:pPr>
        <w:pStyle w:val="ListNumber"/>
        <w:spacing w:line="240" w:lineRule="auto"/>
        <w:ind w:left="720"/>
      </w:pPr>
      <w:r/>
      <w:r>
        <w:t xml:space="preserve">Paragraph 6: Sources </w:t>
      </w:r>
      <w:hyperlink r:id="rId9">
        <w:r>
          <w:rPr>
            <w:color w:val="0000EE"/>
            <w:u w:val="single"/>
          </w:rPr>
          <w:t>[1]</w:t>
        </w:r>
      </w:hyperlink>
      <w:r>
        <w:t xml:space="preserve">, </w:t>
      </w:r>
      <w:hyperlink r:id="rId15">
        <w:r>
          <w:rPr>
            <w:color w:val="0000EE"/>
            <w:u w:val="single"/>
          </w:rPr>
          <w:t>[3]</w:t>
        </w:r>
      </w:hyperlink>
      <w:r/>
    </w:p>
    <w:p>
      <w:pPr>
        <w:pStyle w:val="ListNumber"/>
        <w:spacing w:line="240" w:lineRule="auto"/>
        <w:ind w:left="720"/>
      </w:pPr>
      <w:r/>
      <w:r>
        <w:t xml:space="preserve">Paragraph 7: Sources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[5]</w:t>
        </w:r>
      </w:hyperlink>
      <w:r/>
    </w:p>
    <w:p>
      <w:pPr>
        <w:pStyle w:val="ListNumber"/>
        <w:spacing w:line="240" w:lineRule="auto"/>
        <w:ind w:left="720"/>
      </w:pPr>
      <w:r/>
      <w:r>
        <w:t xml:space="preserve">Paragraph 8: Sources </w:t>
      </w:r>
      <w:hyperlink r:id="rId9">
        <w:r>
          <w:rPr>
            <w:color w:val="0000EE"/>
            <w:u w:val="single"/>
          </w:rPr>
          <w:t>[1]</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https://www.conservativewoman.co.uk/net-zero-unachievable-dangerous-and-pointless/</w:t>
        </w:r>
      </w:hyperlink>
      <w:r>
        <w:t xml:space="preserve"> - Please view link - unable to able to access data</w:t>
      </w:r>
      <w:r/>
    </w:p>
    <w:p>
      <w:pPr>
        <w:pStyle w:val="ListNumber"/>
        <w:spacing w:line="240" w:lineRule="auto"/>
        <w:ind w:left="720"/>
      </w:pPr>
      <w:r/>
      <w:hyperlink r:id="rId12">
        <w:r>
          <w:rPr>
            <w:color w:val="0000EE"/>
            <w:u w:val="single"/>
          </w:rPr>
          <w:t>https://www.gov.uk/government/news/uk-becomes-first-major-economy-to-pass-net-zero-emissions-law</w:t>
        </w:r>
      </w:hyperlink>
      <w:r>
        <w:t xml:space="preserve"> - In June 2019, the UK became the first major economy to pass a legally binding law committing to net-zero greenhouse gas emissions by 2050. This legislation requires the UK to bring all greenhouse gas emissions to net zero by 2050, compared to the previous target of at least 80% reduction from 1990 levels. The UK has already reduced emissions by 42% while growing the economy by 72% and has put clean growth at the heart of its modern Industrial Strategy. This could see the number of 'green collar jobs' grow to 2 million and the value of exports from the low carbon economy grow to £170 billion a year by 2030.</w:t>
      </w:r>
      <w:r/>
    </w:p>
    <w:p>
      <w:pPr>
        <w:pStyle w:val="ListNumber"/>
        <w:spacing w:line="240" w:lineRule="auto"/>
        <w:ind w:left="720"/>
      </w:pPr>
      <w:r/>
      <w:hyperlink r:id="rId15">
        <w:r>
          <w:rPr>
            <w:color w:val="0000EE"/>
            <w:u w:val="single"/>
          </w:rPr>
          <w:t>https://www.ft.com/content/ab0cb3fc-e45d-454b-83d9-c0284550aafe</w:t>
        </w:r>
      </w:hyperlink>
      <w:r>
        <w:t xml:space="preserve"> - In 2019, the UK Parliament unanimously approved legislation committing the country to achieve net-zero carbon emissions by 2050. However, the political consensus is beginning to fracture under the new leadership of the Conservative Party's Kemi Badenoch, who has repeatedly criticized this goal. On the other hand, Prime Minister Sir Keir Starmer and his Labour Party remain firmly committed to the climate target, although they assert that it can be achieved without significant changes in consumer behavior. The government faces the challenge of promoting low-carbon products, while the industrial sector pressures to relax the targets. Badenoch, although not yet proposing to abolish the target, has criticized it and suggested that it has left the UK vulnerable and dependent on China. The Reform Party of Nigel Farage promises to eliminate the net-zero target, arguing that it leads to high energy costs. Despite public support for green policies, there is skepticism about the costs. The divergence in positions could alter the political landscape and the implementation of climate policies in the UK.</w:t>
      </w:r>
      <w:r/>
    </w:p>
    <w:p>
      <w:pPr>
        <w:pStyle w:val="ListNumber"/>
        <w:spacing w:line="240" w:lineRule="auto"/>
        <w:ind w:left="720"/>
      </w:pPr>
      <w:r/>
      <w:hyperlink r:id="rId14">
        <w:r>
          <w:rPr>
            <w:color w:val="0000EE"/>
            <w:u w:val="single"/>
          </w:rPr>
          <w:t>https://www.gov.uk/government/publications/greenhouse-gas-emissions/greenhouse-gas-emissions</w:t>
        </w:r>
      </w:hyperlink>
      <w:r>
        <w:t xml:space="preserve"> - The UK introduced carbon budgets as part of the Climate Change Act 2008 to help reduce greenhouse gas emissions by at least 80% by 2050. The first five carbon budgets have been set in law, covering the period from 2008 to 2032. Each carbon budget is split into the traded sector, which covers power and heavy industry, and the non-traded sector, which covers areas like road transport, agriculture, and buildings. Specifically, the carbon budgets limit greenhouse gas emissions to 3,018 million tonnes of carbon dioxide equivalent (MtCO₂e) over the first carbon budget period (2008 to 2012), 2,782 MtCO₂e over the second period (2013 to 2017), 2,544 MtCO₂e over the third period (2018 to 2022), and 1,950 MtCO₂e over the fourth period (2023 to 2027). The government has agreed with the Committee on Climate Change and proposes that the fifth budgetary period covering 2028 to 2032 should be set at 1,725 MtCO₂e.</w:t>
      </w:r>
      <w:r/>
    </w:p>
    <w:p>
      <w:pPr>
        <w:pStyle w:val="ListNumber"/>
        <w:spacing w:line="240" w:lineRule="auto"/>
        <w:ind w:left="720"/>
      </w:pPr>
      <w:r/>
      <w:hyperlink r:id="rId10">
        <w:r>
          <w:rPr>
            <w:color w:val="0000EE"/>
            <w:u w:val="single"/>
          </w:rPr>
          <w:t>https://www.oecd.org/en/publications/ipac-policies-in-practice_22632907-en/the-united-kingdom-s-pioneering-climate-change-act_c08c3d7a-en.html</w:t>
        </w:r>
      </w:hyperlink>
      <w:r>
        <w:t xml:space="preserve"> - The Climate Change Act was adopted in 2008 to set a comprehensive framework for climate change mitigation and adaptation across the country. Its approval benefited from a broad cross-party consensus and strong civil society engagement. The Act was the first of its kind in the world. It sets a long-term emission goal and requires the identification of interim targets, expressed in five-year carbon budgets, which the government is legally obliged to achieve. The Act also requires the government to publish a climate change risk assessment every five years and to develop a National Adaptation Programme to respond to the risk assessment. In 2019, the headline target of the Act was amended to reflect the government’s net-zero ambition. Originally, the Act committed the United Kingdom to reduce its greenhouse gas emissions by 80% by 2050, compared to 1990 levels. The first five carbon budgets (2008-12, 2013-17, 2018-22, 2023-27, 2028-32) were set to achieve this goal. In 2021, the government adopted the sixth carbon budget (2033–37) to cut emissions (including international aviation and shipping emissions) by 78% by 2035.</w:t>
      </w:r>
      <w:r/>
    </w:p>
    <w:p>
      <w:pPr>
        <w:pStyle w:val="ListNumber"/>
        <w:spacing w:line="240" w:lineRule="auto"/>
        <w:ind w:left="720"/>
      </w:pPr>
      <w:r/>
      <w:hyperlink r:id="rId13">
        <w:r>
          <w:rPr>
            <w:color w:val="0000EE"/>
            <w:u w:val="single"/>
          </w:rPr>
          <w:t>https://www.clientearth.org/latest/news/what-is-the-climate-change-act/</w:t>
        </w:r>
      </w:hyperlink>
      <w:r>
        <w:t xml:space="preserve"> - The Climate Change Act 2008 is a landmark piece of legislation that set legally binding targets for reducing greenhouse gas emissions in the UK. It established an independent expert body, the Committee on Climate Change (the CCC), to advise the government on the level of those emissions targets and report to Parliament on progress made on reducing emissions. The Act introduced carbon budgets, which put legally binding limits on the amount of greenhouse gases the UK can emit over a five-year period. The UK is the first country to set legally binding carbon budgets. They are meant to set out a cost-effective path to achieving longer-term climate targets. So far, five carbon budgets have been put into law that run up to 2032.</w:t>
      </w:r>
      <w:r/>
    </w:p>
    <w:p>
      <w:pPr>
        <w:pStyle w:val="ListNumber"/>
        <w:spacing w:line="240" w:lineRule="auto"/>
        <w:ind w:left="720"/>
      </w:pPr>
      <w:r/>
      <w:hyperlink r:id="rId11">
        <w:r>
          <w:rPr>
            <w:color w:val="0000EE"/>
            <w:u w:val="single"/>
          </w:rPr>
          <w:t>https://www.lse.ac.uk/granthaminstitute/explainers/what-is-the-2008-climate-change-act/</w:t>
        </w:r>
      </w:hyperlink>
      <w:r>
        <w:t xml:space="preserve"> - The Climate Change Act was passed in the UK in November 2008 with an overwhelming majority across political parties. It sets out emission reduction targets that the UK must comply with legally. It represents the first global legally binding climate change mitigation target set by a country. The Act committed the UK to reducing its greenhouse gas emissions by 80% by 2050, compared to 1990 levels. However, this target was made more ambitious in 2019 when the UK became the first major economy to commit to a ‘net zero’ target. The new target requires the UK to bring all greenhouse gas emissions to net zero by 2050. The Act also provides a system of carbon budgeting, to help the UK meet its targets through a series of five-year carbon budgets.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ervativewoman.co.uk/net-zero-unachievable-dangerous-and-pointless/" TargetMode="External"/><Relationship Id="rId10" Type="http://schemas.openxmlformats.org/officeDocument/2006/relationships/hyperlink" Target="https://www.oecd.org/en/publications/ipac-policies-in-practice_22632907-en/the-united-kingdom-s-pioneering-climate-change-act_c08c3d7a-en.html" TargetMode="External"/><Relationship Id="rId11" Type="http://schemas.openxmlformats.org/officeDocument/2006/relationships/hyperlink" Target="https://www.lse.ac.uk/granthaminstitute/explainers/what-is-the-2008-climate-change-act/" TargetMode="External"/><Relationship Id="rId12" Type="http://schemas.openxmlformats.org/officeDocument/2006/relationships/hyperlink" Target="https://www.gov.uk/government/news/uk-becomes-first-major-economy-to-pass-net-zero-emissions-law" TargetMode="External"/><Relationship Id="rId13" Type="http://schemas.openxmlformats.org/officeDocument/2006/relationships/hyperlink" Target="https://www.clientearth.org/latest/news/what-is-the-climate-change-act/" TargetMode="External"/><Relationship Id="rId14" Type="http://schemas.openxmlformats.org/officeDocument/2006/relationships/hyperlink" Target="https://www.gov.uk/government/publications/greenhouse-gas-emissions/greenhouse-gas-emissions" TargetMode="External"/><Relationship Id="rId15" Type="http://schemas.openxmlformats.org/officeDocument/2006/relationships/hyperlink" Target="https://www.ft.com/content/ab0cb3fc-e45d-454b-83d9-c0284550aaf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