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consultation risks undermining biodiversity net gain for smaller developments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announcement from the UK government regarding the potential reduction of biodiversity net gain (BNG) requirements for smaller development sites has raised significant concerns among market stakeholders. The proposed consultation, aimed at re-evaluating these regulations, has sparked fears that it could dramatically undermine demand for off-site biodiversity units, a vital mechanism designed to ensure ecological balance amid ongoing development.</w:t>
      </w:r>
      <w:r/>
    </w:p>
    <w:p>
      <w:r/>
      <w:r>
        <w:t>Biodiversity net gain, which mandates that new developments leave the natural environment in a better state than before, has become a cornerstone of ecological policy in the UK. The current regulations require larger developers to contribute positively to biodiversity, but the proposed easing for smaller sites could lead to a substantial shift in the market dynamics. Industry leaders are warning that this move may not only reduce the impetus for developers to engage in environmental conservation but could effectively ‘wipe out’ sales of off-site biodiversity units, crucial for overarching conservation goals.</w:t>
      </w:r>
      <w:r/>
    </w:p>
    <w:p>
      <w:r/>
      <w:r>
        <w:t>According to various stakeholders, including environmental groups and developers, the changes might contradict the government's own environmental targets. As the UK strives to lead on climate action and biodiversity preservation, easing BNG requirements for smaller developments could undermine the comprehensive strategies already in place to foster ecological resilience. The ongoing debate points to a wider conflict between development pressures and conservation priorities, raising questions about the balance each has within national policy.</w:t>
      </w:r>
      <w:r/>
    </w:p>
    <w:p>
      <w:r/>
      <w:r>
        <w:t xml:space="preserve">In light of these challenges, experts stress the importance of engaging with the consultation process. They advocate for maintaining robust biodiversity objectives that support both ecological health and economic growth. The sentiment from the development and environmental sectors is clear: a nuanced approach is imperative to ensure that the UK's biodiversity commitments remain strong, even as the landscape of development evolves. </w:t>
      </w:r>
      <w:r/>
    </w:p>
    <w:p>
      <w:r/>
      <w:r>
        <w:t>The push for reduced BNG requirements has prompted a swift reaction from conservationists and local authorities who argue that any dilution in regulatory standards may lead to further degradation of biodiversity in already vulnerable areas. As discussions progress, the outcome of this consultation could have long-lasting implications for both wildlife habitats and the real estate market in the UK, challenging stakeholders to find a balance between development and ecological sustainability.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r/>
    </w:p>
    <w:p>
      <w:r/>
      <w:r>
        <w:t xml:space="preserve">Source: </w:t>
      </w:r>
      <w:hyperlink r:id="rId10">
        <w:r>
          <w:rPr>
            <w:color w:val="0000EE"/>
            <w:u w:val="single"/>
          </w:rPr>
          <w:t>Noah Wire Services</w:t>
        </w:r>
      </w:hyperlink>
      <w:r/>
    </w:p>
    <w:p>
      <w:pPr>
        <w:pStyle w:val="Heading2"/>
      </w:pPr>
      <w:r>
        <w:t>Bibliography</w:t>
      </w:r>
      <w:r/>
    </w:p>
    <w:p>
      <w:r/>
      <w:r>
        <w:t xml:space="preserve">1. </w:t>
      </w:r>
      <w:hyperlink r:id="rId9">
        <w:r>
          <w:rPr>
            <w:color w:val="0000EE"/>
            <w:u w:val="single"/>
          </w:rPr>
          <w:t>https://carbon-pulse.com/402297/</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arbon-pulse.com/402297/"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