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frontiers in public-private partnerships drive energy resilience and digital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Public-private partnerships (PPPs) have increasingly become pivotal in driving market disruption amid a rapidly transforming global economic landscape. The convergence of decarbonization, digital transformation, and geopolitical shifts is compelling governments and private sectors to forge strategic alliances that scale innovation, manage risk, and unlock critical capital. These partnerships are particularly significant in sectors such as the energy transition and digital infrastructure, where systemic challenges demand coordinated, large-scale responses.</w:t>
      </w:r>
      <w:r/>
    </w:p>
    <w:p>
      <w:r/>
      <w:r>
        <w:t>In the energy sector, the urgency for decarbonization is evident in growing power demand forecasts, such as the U.S. projection of a 2.4% compound annual growth rate through 2030, driven largely by emerging technologies like AI-powered data centres and direct air capture facilities. However, this expansion rests on the backbone of resilient infrastructure. Nevada’s recent experience following a 5.3-magnitude earthquake in 2025 underscores the necessity of such resilience. The state leveraged a $10 million federal emergency grant to retrofit the high-risk Marlette Lake Dam and committed $3.2 billion to a grid modernization effort utilising cutting-edge digital twin technology to anticipate and mitigate future failures. These initiatives demonstrate how seismic risks are reshaping investment priorities, with public and private sectors working hand-in-hand to fortify critical infrastructure.</w:t>
      </w:r>
      <w:r/>
    </w:p>
    <w:p>
      <w:r/>
      <w:r>
        <w:t>Securing the supply chain of strategic minerals is another dimension of the evolving energy landscape. Nevada holds a unique position as the U.S.’s primary source of lithium and gold and hosts important federal stockpiles of rare earth elements intended to reduce dependency on foreign suppliers. The Nevada Strategic Minerals Reserve, a public-private initiative, exemplifies efforts to bolster domestic resource security. Broader national policies, especially the Inflation Reduction Act—which allocates approximately $370 billion in clean energy incentives—have further energized collaborative ventures such as Michigan's Consumers Energy workforce development programme. This initiative, fuelled through joint funding, boosted clean energy jobs by 12% in 2024, reflecting how PPPs can tackle both infrastructure and labour market challenges.</w:t>
      </w:r>
      <w:r/>
    </w:p>
    <w:p>
      <w:r/>
      <w:r>
        <w:t>Digital infrastructure represents another frontier of this collaboration. Expanding digital networks like 5G, alongside decentralised energy systems, require infrastructure that can adapt and scale swiftly. In emerging markets, particularly across Africa, PPPs are crucial in accelerating access to electricity through mini-grids and solar home systems, addressing the energy deficits of over 450 million people. A 2024 study focusing on BIMSTEC nations (including India, Brunei, and Myanmar) reveals that annual investments of $45 billion are necessary to meet Sustainable Development Goal 7, which targets universal access to affordable, reliable, sustainable, and modern energy. Likewise, Australia's embrace of public-private collaborations in digital infrastructure—such as integration of cloud computing with smart grids—has strengthened its competitive position in aligning technological growth with sustainability imperatives.</w:t>
      </w:r>
      <w:r/>
    </w:p>
    <w:p>
      <w:r/>
      <w:r>
        <w:t>Private sector engagement is equally transformative. Tesla’s renewable-powered Supercharger network, for instance, avoided an estimated 1.2 million metric tons of CO₂ emissions in 2024, coinciding with a 150% increase in the company’s market capitalisation since 2023. Such achievements underscore how embedding Environmental, Social, and Governance (ESG) principles within corporate operations can simultaneously deliver financial gains and systemic environmental benefits. Similarly, innovations like optimised airline flight paths have saved $110 million in 2025 by reducing fuel consumption, further illustrating the synergy between environmental objectives and economic efficiency.</w:t>
      </w:r>
      <w:r/>
    </w:p>
    <w:p>
      <w:r/>
      <w:r>
        <w:t>Nevertheless, PPPs confront significant obstacles. Regulatory ambiguities and delays in permitting processes continue to hamper the pace of renewable energy deployment. In India and France, recent government renegotiations of renewable energy power purchase agreements reflect the volatility caused by rapid declines in solar power costs and an oversupply of battery technologies. Urbanisation trends in certain regions have also moderated renewable energy adoption, signalling a need for adaptive and flexible policy frameworks to sustain momentum. The German state of Schleswig-Holstein, where misalignment between workforce development initiatives and low-carbon energy objectives slowed progress, serves as a cautionary example.</w:t>
      </w:r>
      <w:r/>
    </w:p>
    <w:p>
      <w:r/>
      <w:r>
        <w:t>Conversely, holistic, community-centred partnerships offer valuable insights for sustainable development. San Francisco’s HOPE SF initiative, combining public, private, and philanthropic investments with a dedicated budget of $7.8 million, illustrates how integrated approaches can foster resilience and stability in local housing markets, supporting broader economic and social goals.</w:t>
      </w:r>
      <w:r/>
    </w:p>
    <w:p>
      <w:r/>
      <w:r>
        <w:t>In summary, public-private partnerships have evolved beyond niche mechanisms to become foundational elements of contemporary investment strategies. By combining capital, innovative technologies, and coherent policies, these alliances are tackling the dual challenges of decarbonisation and digitalisation. Their success, however, hinges on the ability to remain agile amid evolving risks—whether geological, regulatory, or technological. For investors and stakeholders, the clear takeaway is that those partnerships embedding continuous innovation, robust ESG commitments, and community resilience are poised to lead the sustainable markets of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https://www.ainvest.com/news/strategic-alliances-catalysts-market-disruption-rise-public-private-investment-innovation-2509/</w:t>
        </w:r>
      </w:hyperlink>
      <w:r>
        <w:t xml:space="preserve"> - Please view link - unable to able to access data</w:t>
      </w:r>
      <w:r/>
    </w:p>
    <w:p>
      <w:pPr>
        <w:pStyle w:val="ListNumber"/>
        <w:spacing w:line="240" w:lineRule="auto"/>
        <w:ind w:left="720"/>
      </w:pPr>
      <w:r/>
      <w:hyperlink r:id="rId10">
        <w:r>
          <w:rPr>
            <w:color w:val="0000EE"/>
            <w:u w:val="single"/>
          </w:rPr>
          <w:t>https://moneyweek.com/investments/infrastructure-investing-stable-growth-amid-market-turmoil</w:t>
        </w:r>
      </w:hyperlink>
      <w:r>
        <w:t xml:space="preserve"> - This article discusses the resilience of infrastructure investing amid global market volatility. It highlights the strong economic growth in emerging markets, particularly urbanization and rising living standards, driving increased demand for infrastructure such as water, roads, and airports. The piece also addresses the challenges in developed nations, where underinvestment has led to the prioritization of infrastructure upgrades. Additionally, it explores the impact of digitalization, with data centers and telecoms requiring vast infrastructures and energy resources, and the transition to clean energy necessitating significant investment to meet net-zero targets.</w:t>
      </w:r>
      <w:r/>
    </w:p>
    <w:p>
      <w:pPr>
        <w:pStyle w:val="ListNumber"/>
        <w:spacing w:line="240" w:lineRule="auto"/>
        <w:ind w:left="720"/>
      </w:pPr>
      <w:r/>
      <w:hyperlink r:id="rId11">
        <w:r>
          <w:rPr>
            <w:color w:val="0000EE"/>
            <w:u w:val="single"/>
          </w:rPr>
          <w:t>https://www.ainvest.com/news/assessing-impact-seismic-activity-infrastructure-energy-investments-nevada-2508/</w:t>
        </w:r>
      </w:hyperlink>
      <w:r>
        <w:t xml:space="preserve"> - This article examines the impact of seismic activity on infrastructure and energy investments in Nevada. It details a 5.3-magnitude earthquake in August 2025, highlighting the state's vulnerability to geophysical risks. The piece discusses the retrofitting of the Marlette Lake Dam with a $10 million federal grant and NV Energy's $3.2 billion grid modernization program incorporating digital twin technology. It also explores Nevada's strategic role in domestic supply chains, producing 80% of U.S. gold and housing the only operational U.S. lithium mine, and the establishment of the Nevada Strategic Minerals Reserve to secure critical minerals.</w:t>
      </w:r>
      <w:r/>
    </w:p>
    <w:p>
      <w:pPr>
        <w:pStyle w:val="ListNumber"/>
        <w:spacing w:line="240" w:lineRule="auto"/>
        <w:ind w:left="720"/>
      </w:pPr>
      <w:r/>
      <w:hyperlink r:id="rId12">
        <w:r>
          <w:rPr>
            <w:color w:val="0000EE"/>
            <w:u w:val="single"/>
          </w:rPr>
          <w:t>https://www.phoenixstrategy.group/blog/public-private-joint-ventures-in-renewable-energy</w:t>
        </w:r>
      </w:hyperlink>
      <w:r>
        <w:t xml:space="preserve"> - This article explores how public-private joint ventures (PPJVs) are transforming renewable energy funding, driving innovation, and achieving sustainability goals. It highlights the substantial funding required to meet net-zero emissions by 2050 and how PPJVs combine government policy support with private sector funding and expertise. The piece discusses common structures in renewable energy PPJVs, such as Special Purpose Vehicles (SPVs) and Power Purchase Agreements (PPAs), and provides case studies like Morocco’s Noor Solar Plant and India’s Solar Mission, illustrating the global success of these partnerships.</w:t>
      </w:r>
      <w:r/>
    </w:p>
    <w:p>
      <w:pPr>
        <w:pStyle w:val="ListNumber"/>
        <w:spacing w:line="240" w:lineRule="auto"/>
        <w:ind w:left="720"/>
      </w:pPr>
      <w:r/>
      <w:hyperlink r:id="rId13">
        <w:r>
          <w:rPr>
            <w:color w:val="0000EE"/>
            <w:u w:val="single"/>
          </w:rPr>
          <w:t>https://www.deloitte.com/us/en/insights/industry/government-public-sector-services/government-trends/2025/ai-public-services-enhancement.html</w:t>
        </w:r>
      </w:hyperlink>
      <w:r>
        <w:t xml:space="preserve"> - This article discusses the role of artificial intelligence (AI) in enhancing public services. It highlights how AI is transforming government operations, improving efficiency, and delivering better outcomes for citizens. The piece explores various applications of AI in public services, including data analysis, decision-making processes, and service delivery. It also addresses the challenges and considerations governments face when implementing AI, such as ethical implications, data privacy, and the need for a skilled workforce to manage AI technologies.</w:t>
      </w:r>
      <w:r/>
    </w:p>
    <w:p>
      <w:pPr>
        <w:pStyle w:val="ListNumber"/>
        <w:spacing w:line="240" w:lineRule="auto"/>
        <w:ind w:left="720"/>
      </w:pPr>
      <w:r/>
      <w:hyperlink r:id="rId14">
        <w:r>
          <w:rPr>
            <w:color w:val="0000EE"/>
            <w:u w:val="single"/>
          </w:rPr>
          <w:t>https://www.ainvest.com/news/strategic-positioning-innovation-ecosystems-unlocking-competitive-advantage-2025-2508/</w:t>
        </w:r>
      </w:hyperlink>
      <w:r>
        <w:t xml:space="preserve"> - This article examines how firms can unlock competitive advantage by strategically positioning themselves within innovation ecosystems. It discusses the shift from isolated breakthroughs to interconnected ecosystems in the global economy. The piece highlights examples of ESG-driven firms like Standard Chartered and Tesla, which have achieved sustainability and investor returns through systemic collaboration. It also explores emerging ecosystems in cities like São Paulo and Shenzhen, attracting investments via climate-tech and AI-native innovation, and advises investors to target ecosystem orchestrators and AI-native platforms to capitalize on scalable, cross-sector innovation.</w:t>
      </w:r>
      <w:r/>
    </w:p>
    <w:p>
      <w:pPr>
        <w:pStyle w:val="ListNumber"/>
        <w:spacing w:line="240" w:lineRule="auto"/>
        <w:ind w:left="720"/>
      </w:pPr>
      <w:r/>
      <w:hyperlink r:id="rId15">
        <w:r>
          <w:rPr>
            <w:color w:val="0000EE"/>
            <w:u w:val="single"/>
          </w:rPr>
          <w:t>https://www.ainvest.com/news/strategic-philanthropy-catalyst-community-resilience-long-term-economic-stability-2507/</w:t>
        </w:r>
      </w:hyperlink>
      <w:r>
        <w:t xml:space="preserve"> - This article discusses the role of strategic philanthropy as a catalyst for community resilience and long-term economic stability. It explores how philanthropic initiatives can drive positive change in communities, addressing challenges such as economic disparities and social issues. The piece highlights examples of successful philanthropic efforts that have led to sustainable development and improved quality of life. It also examines the importance of collaboration between public, private, and non-profit sectors in creating impactful philanthropic strategies that contribute to long-term economic stability and community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strategic-alliances-catalysts-market-disruption-rise-public-private-investment-innovation-2509/" TargetMode="External"/><Relationship Id="rId10" Type="http://schemas.openxmlformats.org/officeDocument/2006/relationships/hyperlink" Target="https://moneyweek.com/investments/infrastructure-investing-stable-growth-amid-market-turmoil" TargetMode="External"/><Relationship Id="rId11" Type="http://schemas.openxmlformats.org/officeDocument/2006/relationships/hyperlink" Target="https://www.ainvest.com/news/assessing-impact-seismic-activity-infrastructure-energy-investments-nevada-2508/" TargetMode="External"/><Relationship Id="rId12" Type="http://schemas.openxmlformats.org/officeDocument/2006/relationships/hyperlink" Target="https://www.phoenixstrategy.group/blog/public-private-joint-ventures-in-renewable-energy" TargetMode="External"/><Relationship Id="rId13" Type="http://schemas.openxmlformats.org/officeDocument/2006/relationships/hyperlink" Target="https://www.deloitte.com/us/en/insights/industry/government-public-sector-services/government-trends/2025/ai-public-services-enhancement.html" TargetMode="External"/><Relationship Id="rId14" Type="http://schemas.openxmlformats.org/officeDocument/2006/relationships/hyperlink" Target="https://www.ainvest.com/news/strategic-positioning-innovation-ecosystems-unlocking-competitive-advantage-2025-2508/" TargetMode="External"/><Relationship Id="rId15" Type="http://schemas.openxmlformats.org/officeDocument/2006/relationships/hyperlink" Target="https://www.ainvest.com/news/strategic-philanthropy-catalyst-community-resilience-long-term-economic-stability-250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