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green spaces drive soaring property premiums amid market shift towards sustainability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 stands out as one of the greenest major capitals globally, with approximately 20% of its area dedicated to public parks and open spaces. Nearly half of London’s landscape is interspersed with greenery and waterways, which collectively cover more land than the city’s railways and roads combined. This extensive integration of nature not only enhances the city’s environmental quality but also plays a pivotal role in shaping its property market.</w:t>
      </w:r>
      <w:r/>
    </w:p>
    <w:p>
      <w:r/>
      <w:r>
        <w:t>Analysis by Jefferies London highlights the substantial value London’s green spaces add to residential property prices. Homes bordering the capital’s iconic royal parks typically command a significant price premium. The average house price near these royal parks stands at around £1,051,765, representing an 86% uplift compared to the broader London average of approximately £566,000. This premium underscores the high desirability and prestige associated with park-adjacent living.</w:t>
      </w:r>
      <w:r/>
    </w:p>
    <w:p>
      <w:r/>
      <w:r>
        <w:t>Among the royal parks, Green Park properties command the highest premiums, with average prices reaching around £1.64 million, which is a striking 73% above the Westminster borough average. Hyde Park and St James’s Park also deliver substantial premiums, with homes selling for 58% and 51% more than their respective borough averages. Kensington Gardens offers a 31% uplift in property values, while The Regent’s Park and Primrose Hill provide relatively lower premiums of 19%. These figures are consistent with other estate agent insights, such as those presented by Benham &amp; Reeves, who report that homes near major parks like St James’s Park, Green Park, Regent’s Park, Kensington Gardens, and Hampstead Heath often sell for more than 165% above the average London price per square foot.</w:t>
      </w:r>
      <w:r/>
    </w:p>
    <w:p>
      <w:r/>
      <w:r>
        <w:t>Interestingly, however, the impact of green spaces on property prices is not uniformly positive across all parks. For example, properties near Bushy Park in Richmond upon Thames are actually around 23% cheaper than the borough average, making it the most affordable park-adjacent area relatively speaking. Greenwich Park offers a modest 4% premium, while Brompton Cemetery and Richmond Park sit slightly below their borough averages, by 2% and 7%, respectively.</w:t>
      </w:r>
      <w:r/>
    </w:p>
    <w:p>
      <w:r/>
      <w:r>
        <w:t>The market shift toward valuing communal green space intensified during the Covid-19 pandemic, as the public’s desire for accessible nature grew markedly. Preferences pivoted away from large private gardens, which are scarce and expensive, toward convenient access to parks and communal outdoor spaces. This change has manifested in price hikes for properties near central London’s prime parks, with estate agents like Winkworth noting increases between 30% and 100%. Even smaller parks have contributed premiums of up to 15%, reinforcing the importance of these green spaces for exercise, socialising, family activities, and mental well-being, especially where private gardens are limited.</w:t>
      </w:r>
      <w:r/>
    </w:p>
    <w:p>
      <w:r/>
      <w:r>
        <w:t>High-end residential developers have recognised this trend, incorporating private landscaped gardens into their projects to complement proximity to major parks. For instance, the 100 Kensington development offers residents private garden access while being just a short walk from Hyde Park, Holland Park, and Kensington Palace Gardens. Such developments strategically combine urban luxury with natural tranquility, thereby enhancing lifestyle appeal and securing long-term property value growth.</w:t>
      </w:r>
      <w:r/>
    </w:p>
    <w:p>
      <w:r/>
      <w:r>
        <w:t>Beyond green space, other factors are increasingly shaping London’s property market. For example, Jefferies London has observed strong demand for properties featuring mega-basements—luxurious subterranean extensions with amenities like swimming pools and gyms—that can command premiums as high as 122%. Furthermore, sustainability credentials are becoming a critical value driver. JLL’s hedonic analysis of nearly 600 Central London transactions between 2017 and 2021 reveals that environmentally sustainable buildings are commanding higher prices and rents. The market’s growing focus on environmental performance is elevating the appeal and value of real estate with strong green credentials, indicating that sustainability is now a key factor alongside location and amenities.</w:t>
      </w:r>
      <w:r/>
    </w:p>
    <w:p>
      <w:r/>
      <w:r>
        <w:t>Together, these trends illustrate a dynamic London property market where access to green spaces, environmental sustainability, and innovative luxury features are commanding rising premiums, reshaping the capital’s residential landscape.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(Metro), </w:t>
      </w:r>
      <w:hyperlink r:id="rId10">
        <w:r>
          <w:rPr>
            <w:color w:val="0000EE"/>
            <w:u w:val="single"/>
          </w:rPr>
          <w:t>[4]</w:t>
        </w:r>
      </w:hyperlink>
      <w:r>
        <w:t xml:space="preserve"> (Which?)</w:t>
      </w:r>
      <w:r/>
    </w:p>
    <w:p>
      <w:pPr>
        <w:pStyle w:val="ListBullet"/>
        <w:spacing w:line="240" w:lineRule="auto"/>
        <w:ind w:left="720"/>
      </w:pPr>
      <w:r/>
      <w:r>
        <w:t xml:space="preserve">Paragraph 2 – </w:t>
      </w:r>
      <w:hyperlink r:id="rId9">
        <w:r>
          <w:rPr>
            <w:color w:val="0000EE"/>
            <w:u w:val="single"/>
          </w:rPr>
          <w:t>[1]</w:t>
        </w:r>
      </w:hyperlink>
      <w:r>
        <w:t xml:space="preserve"> (Metro), </w:t>
      </w:r>
      <w:hyperlink r:id="rId11">
        <w:r>
          <w:rPr>
            <w:color w:val="0000EE"/>
            <w:u w:val="single"/>
          </w:rPr>
          <w:t>[2]</w:t>
        </w:r>
      </w:hyperlink>
      <w:r>
        <w:t xml:space="preserve"> (Property Reporter)</w:t>
      </w:r>
      <w:r/>
    </w:p>
    <w:p>
      <w:pPr>
        <w:pStyle w:val="ListBullet"/>
        <w:spacing w:line="240" w:lineRule="auto"/>
        <w:ind w:left="720"/>
      </w:pPr>
      <w:r/>
      <w:r>
        <w:t xml:space="preserve">Paragraph 3 – </w:t>
      </w:r>
      <w:hyperlink r:id="rId9">
        <w:r>
          <w:rPr>
            <w:color w:val="0000EE"/>
            <w:u w:val="single"/>
          </w:rPr>
          <w:t>[1]</w:t>
        </w:r>
      </w:hyperlink>
      <w:r>
        <w:t xml:space="preserve"> (Metro), </w:t>
      </w:r>
      <w:hyperlink r:id="rId12">
        <w:r>
          <w:rPr>
            <w:color w:val="0000EE"/>
            <w:u w:val="single"/>
          </w:rPr>
          <w:t>[3]</w:t>
        </w:r>
      </w:hyperlink>
      <w:r>
        <w:t xml:space="preserve"> (Benham &amp; Reeves), </w:t>
      </w:r>
      <w:hyperlink r:id="rId13">
        <w:r>
          <w:rPr>
            <w:color w:val="0000EE"/>
            <w:u w:val="single"/>
          </w:rPr>
          <w:t>[5]</w:t>
        </w:r>
      </w:hyperlink>
      <w:r>
        <w:t xml:space="preserve"> (Property Soup)</w:t>
      </w:r>
      <w:r/>
    </w:p>
    <w:p>
      <w:pPr>
        <w:pStyle w:val="ListBullet"/>
        <w:spacing w:line="240" w:lineRule="auto"/>
        <w:ind w:left="720"/>
      </w:pPr>
      <w:r/>
      <w:r>
        <w:t xml:space="preserve">Paragraph 4 – </w:t>
      </w:r>
      <w:hyperlink r:id="rId9">
        <w:r>
          <w:rPr>
            <w:color w:val="0000EE"/>
            <w:u w:val="single"/>
          </w:rPr>
          <w:t>[1]</w:t>
        </w:r>
      </w:hyperlink>
      <w:r>
        <w:t xml:space="preserve"> (Metro)</w:t>
      </w:r>
      <w:r/>
    </w:p>
    <w:p>
      <w:pPr>
        <w:pStyle w:val="ListBullet"/>
        <w:spacing w:line="240" w:lineRule="auto"/>
        <w:ind w:left="720"/>
      </w:pPr>
      <w:r/>
      <w:r>
        <w:t xml:space="preserve">Paragraph 5 – </w:t>
      </w:r>
      <w:hyperlink r:id="rId9">
        <w:r>
          <w:rPr>
            <w:color w:val="0000EE"/>
            <w:u w:val="single"/>
          </w:rPr>
          <w:t>[1]</w:t>
        </w:r>
      </w:hyperlink>
      <w:r>
        <w:t xml:space="preserve"> (Metro), </w:t>
      </w:r>
      <w:hyperlink r:id="rId10">
        <w:r>
          <w:rPr>
            <w:color w:val="0000EE"/>
            <w:u w:val="single"/>
          </w:rPr>
          <w:t>[4]</w:t>
        </w:r>
      </w:hyperlink>
      <w:r>
        <w:t xml:space="preserve"> (Which?)</w:t>
      </w:r>
      <w:r/>
    </w:p>
    <w:p>
      <w:pPr>
        <w:pStyle w:val="ListBullet"/>
        <w:spacing w:line="240" w:lineRule="auto"/>
        <w:ind w:left="720"/>
      </w:pPr>
      <w:r/>
      <w:r>
        <w:t xml:space="preserve">Paragraph 6 – </w:t>
      </w:r>
      <w:hyperlink r:id="rId9">
        <w:r>
          <w:rPr>
            <w:color w:val="0000EE"/>
            <w:u w:val="single"/>
          </w:rPr>
          <w:t>[1]</w:t>
        </w:r>
      </w:hyperlink>
      <w:r>
        <w:t xml:space="preserve"> (Metro)</w:t>
      </w:r>
      <w:r/>
    </w:p>
    <w:p>
      <w:pPr>
        <w:pStyle w:val="ListBullet"/>
        <w:spacing w:line="240" w:lineRule="auto"/>
        <w:ind w:left="720"/>
      </w:pPr>
      <w:r/>
      <w:r>
        <w:t xml:space="preserve">Paragraph 7 – </w:t>
      </w:r>
      <w:hyperlink r:id="rId14">
        <w:r>
          <w:rPr>
            <w:color w:val="0000EE"/>
            <w:u w:val="single"/>
          </w:rPr>
          <w:t>[6]</w:t>
        </w:r>
      </w:hyperlink>
      <w:r>
        <w:t xml:space="preserve"> (Jefferies London), </w:t>
      </w:r>
      <w:hyperlink r:id="rId15">
        <w:r>
          <w:rPr>
            <w:color w:val="0000EE"/>
            <w:u w:val="single"/>
          </w:rPr>
          <w:t>[7]</w:t>
        </w:r>
      </w:hyperlink>
      <w:r>
        <w:t xml:space="preserve"> (JLL)</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https://metro.co.uk/2025/10/30/least-expensive-london-parks-live-near-revealed-24567200/</w:t>
        </w:r>
      </w:hyperlink>
      <w:r>
        <w:t xml:space="preserve"> - Please view link - unable to able to access data</w:t>
      </w:r>
      <w:r/>
    </w:p>
    <w:p>
      <w:pPr>
        <w:pStyle w:val="ListNumber"/>
        <w:spacing w:line="240" w:lineRule="auto"/>
        <w:ind w:left="720"/>
      </w:pPr>
      <w:r/>
      <w:hyperlink r:id="rId11">
        <w:r>
          <w:rPr>
            <w:color w:val="0000EE"/>
            <w:u w:val="single"/>
          </w:rPr>
          <w:t>https://www.propertyreporter.co.uk/parkside-premiums-soar-in-prime-london-postcodes.html</w:t>
        </w:r>
      </w:hyperlink>
      <w:r>
        <w:t xml:space="preserve"> - An article from Property Reporter discusses how properties near London's royal parks command significant price premiums. It highlights that homes adjacent to these parks are priced 85.9% higher than the average London property, with Green Park leading at a 72.9% premium over the Westminster borough average. The piece also notes that Hyde Park and St James's Park have premiums of 58% and 51%, respectively, while Kensington Gardens has a 30.7% uplift. The article emphasizes the exclusivity and desirability of living near these green spaces.</w:t>
      </w:r>
      <w:r/>
    </w:p>
    <w:p>
      <w:pPr>
        <w:pStyle w:val="ListNumber"/>
        <w:spacing w:line="240" w:lineRule="auto"/>
        <w:ind w:left="720"/>
      </w:pPr>
      <w:r/>
      <w:hyperlink r:id="rId12">
        <w:r>
          <w:rPr>
            <w:color w:val="0000EE"/>
            <w:u w:val="single"/>
          </w:rPr>
          <w:t>https://www.benhams.com/press-release/london-property-market/london-parks-commanding-property-premiums/</w:t>
        </w:r>
      </w:hyperlink>
      <w:r>
        <w:t xml:space="preserve"> - Benham &amp; Reeves' press release reveals that homes near London's major parks sell for an average of £896 per square foot, which is 48.5% above the wider London average. The release details that Kensington Gardens has the highest premium at 144.2%, followed by Green Park at 133.2%, and Hyde Park at 132.6%. It also mentions that properties near St James's Park, Battersea Park, and Regent's Park have notable premiums, while some parks like Crystal Palace Park and Bushy Park offer more affordable options.</w:t>
      </w:r>
      <w:r/>
    </w:p>
    <w:p>
      <w:pPr>
        <w:pStyle w:val="ListNumber"/>
        <w:spacing w:line="240" w:lineRule="auto"/>
        <w:ind w:left="720"/>
      </w:pPr>
      <w:r/>
      <w:hyperlink r:id="rId10">
        <w:r>
          <w:rPr>
            <w:color w:val="0000EE"/>
            <w:u w:val="single"/>
          </w:rPr>
          <w:t>https://www.which.co.uk/news/article/parks-premium-how-does-green-space-affect-london-house-prices-a2pFT8b8O9yX</w:t>
        </w:r>
      </w:hyperlink>
      <w:r>
        <w:t xml:space="preserve"> - Which? examines how proximity to green spaces affects London house prices. The article cites research by Benham &amp; Reeves, indicating that Londoners pay a £245 per square metre premium for parks and public outdoor spaces. It provides a breakdown of this premium across various boroughs, noting that the City of London has the highest premium at £5,638 per square metre, while outer boroughs like Bromley, Havering, and Hillingdon have lower premiums due to more abundant green spaces.</w:t>
      </w:r>
      <w:r/>
    </w:p>
    <w:p>
      <w:pPr>
        <w:pStyle w:val="ListNumber"/>
        <w:spacing w:line="240" w:lineRule="auto"/>
        <w:ind w:left="720"/>
      </w:pPr>
      <w:r/>
      <w:hyperlink r:id="rId13">
        <w:r>
          <w:rPr>
            <w:color w:val="0000EE"/>
            <w:u w:val="single"/>
          </w:rPr>
          <w:t>https://propertysoup.co.uk/londons-royal-parks-command-property-price-premiums-of-up-to-86/</w:t>
        </w:r>
      </w:hyperlink>
      <w:r>
        <w:t xml:space="preserve"> - Property Soup reports on research by Jefferies London, revealing that properties near London's royal parks have an average price premium of 85.9% over the city's overall average. The article highlights that Green Park has the highest premium at 72.9% above the Westminster borough average, followed by Hyde Park and St James's Park with premiums of 58% and 51.2%, respectively. It also notes that Kensington Gardens commands a 30.7% uplift, while areas around Regent's Park and Primrose Hill have premiums of 18.5%.</w:t>
      </w:r>
      <w:r/>
    </w:p>
    <w:p>
      <w:pPr>
        <w:pStyle w:val="ListNumber"/>
        <w:spacing w:line="240" w:lineRule="auto"/>
        <w:ind w:left="720"/>
      </w:pPr>
      <w:r/>
      <w:hyperlink r:id="rId14">
        <w:r>
          <w:rPr>
            <w:color w:val="0000EE"/>
            <w:u w:val="single"/>
          </w:rPr>
          <w:t>https://jefferies.london/blog/prime-london-mega-basements-command-property-premiums-as-high-as-122</w:t>
        </w:r>
      </w:hyperlink>
      <w:r>
        <w:t xml:space="preserve"> - Jefferies London's blog discusses the rising demand for mega-basements in prime London areas, noting that these properties command premiums of up to 122% over typical market values. The article explains that despite accounting for just 3% of current listings, these subterranean spaces, often featuring amenities like swimming pools and gyms, have become a sought-after method for increasing internal square footage in central London properties.</w:t>
      </w:r>
      <w:r/>
    </w:p>
    <w:p>
      <w:pPr>
        <w:pStyle w:val="ListNumber"/>
        <w:spacing w:line="240" w:lineRule="auto"/>
        <w:ind w:left="720"/>
      </w:pPr>
      <w:r/>
      <w:hyperlink r:id="rId15">
        <w:r>
          <w:rPr>
            <w:color w:val="0000EE"/>
            <w:u w:val="single"/>
          </w:rPr>
          <w:t>https://www.jll.com/en-uk/newsroom/environmentally-sustainable-real-estate-attracts-higher-prices</w:t>
        </w:r>
      </w:hyperlink>
      <w:r>
        <w:t xml:space="preserve"> - JLL's news release highlights that buildings with better sustainability credentials are achieving higher capital values and rents. The report provides a hedonic analysis of almost 600 transactions in Central London between January 2017 and December 2021, demonstrating that the market increasingly attaches higher prices to more sustainable assets, anticipating higher returns and lower risks. This trend is leading to improvements in the environmental performance of London's office stock.</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tro.co.uk/2025/10/30/least-expensive-london-parks-live-near-revealed-24567200/" TargetMode="External"/><Relationship Id="rId10" Type="http://schemas.openxmlformats.org/officeDocument/2006/relationships/hyperlink" Target="https://www.which.co.uk/news/article/parks-premium-how-does-green-space-affect-london-house-prices-a2pFT8b8O9yX" TargetMode="External"/><Relationship Id="rId11" Type="http://schemas.openxmlformats.org/officeDocument/2006/relationships/hyperlink" Target="https://www.propertyreporter.co.uk/parkside-premiums-soar-in-prime-london-postcodes.html" TargetMode="External"/><Relationship Id="rId12" Type="http://schemas.openxmlformats.org/officeDocument/2006/relationships/hyperlink" Target="https://www.benhams.com/press-release/london-property-market/london-parks-commanding-property-premiums/" TargetMode="External"/><Relationship Id="rId13" Type="http://schemas.openxmlformats.org/officeDocument/2006/relationships/hyperlink" Target="https://propertysoup.co.uk/londons-royal-parks-command-property-price-premiums-of-up-to-86/" TargetMode="External"/><Relationship Id="rId14" Type="http://schemas.openxmlformats.org/officeDocument/2006/relationships/hyperlink" Target="https://jefferies.london/blog/prime-london-mega-basements-command-property-premiums-as-high-as-122" TargetMode="External"/><Relationship Id="rId15" Type="http://schemas.openxmlformats.org/officeDocument/2006/relationships/hyperlink" Target="https://www.jll.com/en-uk/newsroom/environmentally-sustainable-real-estate-attracts-higher-pric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