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nonprofit transforms community spaces into inspiring, inclusive hubs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 you invest in a space, and make it beautiful and inspirational, people take ownership of it—they look after it, respect it, love it,” said Fran Lee, founder of the Flourish Group, a London-based nonprofit design studio dedicated to proving that good design can transform lives and should be accessible to all.</w:t>
      </w:r>
      <w:r/>
    </w:p>
    <w:p>
      <w:r/>
      <w:r>
        <w:t>Since 2024, the Flourish Group has embarked on a mission to revitalise community centres across London, starting with The Exchange in Maida Vale. This previously vacant social housing space was converted into a warm, inviting public living room adorned with vibrant murals, eclectic soft furnishings, and personalised artworks. The approach deliberately contrasts with conventional community centres, which often prioritise function over form, resulting in sterile environments dominated by plastic chairs and wipe-clean surfaces designed to avoid damage at all costs. Lee challenges this norm, questioning, “When was the last time you went into a public library and thought, ‘I want to hang out here all day’?” Her vision seeks to bridge the gap between design experiences reserved for the wealthy and those available to everyday people, proving such efforts are both feasible and impactful even on tight budgets.</w:t>
      </w:r>
      <w:r/>
    </w:p>
    <w:p>
      <w:r/>
      <w:r>
        <w:t>Lee’s motivation is both professional and deeply personal. Growing up in a working-class family with limited means but surrounded by creativity—her mother was a curtain-maker, and family involved in antiques—she developed an appreciation for interiors early on, tempered by financial constraints. After a career spanning fashion, events, and television, including a stint on BBC’s Interior Design Masters in 2022, Lee saw the potential to repurpose her skills to benefit communities often overlooked by the design industry. Unlike traditional interiors projects focused on affluent clients, she wanted to create beautiful, functional spaces for people in modest circumstances, like Janet, a mother living in a cramped flat with three children, whose needs often go unheard.</w:t>
      </w:r>
      <w:r/>
    </w:p>
    <w:p>
      <w:r/>
      <w:r>
        <w:t>Opportunity came in 2022 when Lee volunteered to transform a space being handed over by Westminster Council. Working with a shoestring budget and sourcing pre-owned items—such as a Victorian washbasin stand and 1970s mugs—the result impressed local authorities enough to commission further projects. Flourish was born as a nonprofit entity to continue this community-centred work, operating on a social enterprise model where profits are reinvested into expanding their impact. The organisation enjoys support from notable figures like designer Matthew Williamson and operates with a dedicated team that includes facilitators, project managers, and design heads, all committed to social equity and inclusive creativity.</w:t>
      </w:r>
      <w:r/>
    </w:p>
    <w:p>
      <w:r/>
      <w:r>
        <w:t>A key element setting Flourish apart is its authentic community engagement. Lee criticises the often superficial consultation practices typical in public projects, where input is reduced to tick-box exercises managed by external agencies. Instead, Flourish designers lead co-design workshops directly with residents, allowing users to actively shape the spaces intended for their use. One workshop in Maida Vale engaged 90 residents who created mood boards that informed the final design, ensuring that the output resonated culturally and aesthetically. Such thorough engagement produces spaces enriched with elements reflecting the diverse heritage of the communities—incorporating Moroccan, Persian, and Asian motifs—that evoke memory, spark conversation, and even support wellbeing issues such as dementia by fostering connection and reducing isolation.</w:t>
      </w:r>
      <w:r/>
    </w:p>
    <w:p>
      <w:r/>
      <w:r>
        <w:t>The impacts of these efforts are evident anecdotally. At The Exchange, for example, a previously isolated retiree from the atop residence now regularly visits to read and socialise, a small but meaningful testament to the project’s success. Nevertheless, to persuade funders and decision-makers who demand empirical evidence, Flourish collaborates with nonprofit researchers to quantify benefits, deploying pre- and post-project surveys to capture improvements in happiness and repeat visits. Lee hopes the growing recognition of social responsibility within architecture will also encourage more professionals to engage with such nonprofits, enhancing brand value while contributing positively to society.</w:t>
      </w:r>
      <w:r/>
    </w:p>
    <w:p>
      <w:r/>
      <w:r>
        <w:t>Beyond the aesthetics and community engagement, Flourish’s wider mission embraces cultural transformation, aspiring to shift how public and community spaces are designed over time. This includes promoting equity, resilience, and wellbeing through art resources and creative workshops. Flourish’s model integrates not just inspirational interiors but also creative workshops and accessible art supplies distribution, united by a ethos of inclusion and justice. Their ongoing projects encompass mini-community hubs alongside major libraries, reflecting a holistic approach that nurtures creativity and connection within urban settings.</w:t>
      </w:r>
      <w:r/>
    </w:p>
    <w:p>
      <w:r/>
      <w:r>
        <w:t>Lee acknowledges progress will be gradual, but remains optimistic. “Decision-makers need to shift their mindsets, which takes a long time,” she said. Flourish’s structured approach and community-first focus offer a blueprint for change, aiming to make inspirational, welcoming public spaces the norm rather than the exception.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Architect's Newspaper)</w:t>
      </w:r>
      <w:r/>
    </w:p>
    <w:p>
      <w:pPr>
        <w:pStyle w:val="ListBullet"/>
        <w:spacing w:line="240" w:lineRule="auto"/>
        <w:ind w:left="720"/>
      </w:pPr>
      <w:r/>
      <w:r>
        <w:t xml:space="preserve">Paragraph 2 – </w:t>
      </w:r>
      <w:hyperlink r:id="rId9">
        <w:r>
          <w:rPr>
            <w:color w:val="0000EE"/>
            <w:u w:val="single"/>
          </w:rPr>
          <w:t>[1]</w:t>
        </w:r>
      </w:hyperlink>
      <w:r>
        <w:t xml:space="preserve"> (The Architect's Newspaper)</w:t>
      </w:r>
      <w:r/>
    </w:p>
    <w:p>
      <w:pPr>
        <w:pStyle w:val="ListBullet"/>
        <w:spacing w:line="240" w:lineRule="auto"/>
        <w:ind w:left="720"/>
      </w:pPr>
      <w:r/>
      <w:r>
        <w:t xml:space="preserve">Paragraph 3 – </w:t>
      </w:r>
      <w:hyperlink r:id="rId9">
        <w:r>
          <w:rPr>
            <w:color w:val="0000EE"/>
            <w:u w:val="single"/>
          </w:rPr>
          <w:t>[1]</w:t>
        </w:r>
      </w:hyperlink>
      <w:r>
        <w:t xml:space="preserve"> (The Architect's Newspaper)</w:t>
      </w:r>
      <w:r/>
    </w:p>
    <w:p>
      <w:pPr>
        <w:pStyle w:val="ListBullet"/>
        <w:spacing w:line="240" w:lineRule="auto"/>
        <w:ind w:left="720"/>
      </w:pPr>
      <w:r/>
      <w:r>
        <w:t xml:space="preserve">Paragraph 4 – </w:t>
      </w:r>
      <w:hyperlink r:id="rId9">
        <w:r>
          <w:rPr>
            <w:color w:val="0000EE"/>
            <w:u w:val="single"/>
          </w:rPr>
          <w:t>[1]</w:t>
        </w:r>
      </w:hyperlink>
      <w:r>
        <w:t xml:space="preserve"> (The Architect's Newspaper), </w:t>
      </w:r>
      <w:hyperlink r:id="rId10">
        <w:r>
          <w:rPr>
            <w:color w:val="0000EE"/>
            <w:u w:val="single"/>
          </w:rPr>
          <w:t>[2]</w:t>
        </w:r>
      </w:hyperlink>
      <w:r>
        <w:t xml:space="preserve"> (The Flourish Group)</w:t>
      </w:r>
      <w:r/>
    </w:p>
    <w:p>
      <w:pPr>
        <w:pStyle w:val="ListBullet"/>
        <w:spacing w:line="240" w:lineRule="auto"/>
        <w:ind w:left="720"/>
      </w:pPr>
      <w:r/>
      <w:r>
        <w:t xml:space="preserve">Paragraph 5 – </w:t>
      </w:r>
      <w:hyperlink r:id="rId9">
        <w:r>
          <w:rPr>
            <w:color w:val="0000EE"/>
            <w:u w:val="single"/>
          </w:rPr>
          <w:t>[1]</w:t>
        </w:r>
      </w:hyperlink>
      <w:r>
        <w:t xml:space="preserve"> (The Architect's Newspaper), </w:t>
      </w:r>
      <w:hyperlink r:id="rId11">
        <w:r>
          <w:rPr>
            <w:color w:val="0000EE"/>
            <w:u w:val="single"/>
          </w:rPr>
          <w:t>[4]</w:t>
        </w:r>
      </w:hyperlink>
      <w:r>
        <w:t xml:space="preserve"> (The Flourish Group)</w:t>
      </w:r>
      <w:r/>
    </w:p>
    <w:p>
      <w:pPr>
        <w:pStyle w:val="ListBullet"/>
        <w:spacing w:line="240" w:lineRule="auto"/>
        <w:ind w:left="720"/>
      </w:pPr>
      <w:r/>
      <w:r>
        <w:t xml:space="preserve">Paragraph 6 – </w:t>
      </w:r>
      <w:hyperlink r:id="rId9">
        <w:r>
          <w:rPr>
            <w:color w:val="0000EE"/>
            <w:u w:val="single"/>
          </w:rPr>
          <w:t>[1]</w:t>
        </w:r>
      </w:hyperlink>
      <w:r>
        <w:t xml:space="preserve"> (The Architect's Newspaper), </w:t>
      </w:r>
      <w:hyperlink r:id="rId12">
        <w:r>
          <w:rPr>
            <w:color w:val="0000EE"/>
            <w:u w:val="single"/>
          </w:rPr>
          <w:t>[5]</w:t>
        </w:r>
      </w:hyperlink>
      <w:r>
        <w:t xml:space="preserve"> (Church Street.org)</w:t>
      </w:r>
      <w:r/>
    </w:p>
    <w:p>
      <w:pPr>
        <w:pStyle w:val="ListBullet"/>
        <w:spacing w:line="240" w:lineRule="auto"/>
        <w:ind w:left="720"/>
      </w:pPr>
      <w:r/>
      <w:r>
        <w:t xml:space="preserve">Paragraph 7 – </w:t>
      </w:r>
      <w:hyperlink r:id="rId9">
        <w:r>
          <w:rPr>
            <w:color w:val="0000EE"/>
            <w:u w:val="single"/>
          </w:rPr>
          <w:t>[1]</w:t>
        </w:r>
      </w:hyperlink>
      <w:r>
        <w:t xml:space="preserve"> (The Architect's Newspaper)</w:t>
      </w:r>
      <w:r/>
    </w:p>
    <w:p>
      <w:pPr>
        <w:pStyle w:val="ListBullet"/>
        <w:spacing w:line="240" w:lineRule="auto"/>
        <w:ind w:left="720"/>
      </w:pPr>
      <w:r/>
      <w:r>
        <w:t xml:space="preserve">Paragraph 8 – </w:t>
      </w:r>
      <w:hyperlink r:id="rId13">
        <w:r>
          <w:rPr>
            <w:color w:val="0000EE"/>
            <w:u w:val="single"/>
          </w:rPr>
          <w:t>[3]</w:t>
        </w:r>
      </w:hyperlink>
      <w:r>
        <w:t xml:space="preserve"> (The Flourish Group), </w:t>
      </w:r>
      <w:hyperlink r:id="rId11">
        <w:r>
          <w:rPr>
            <w:color w:val="0000EE"/>
            <w:u w:val="single"/>
          </w:rPr>
          <w:t>[4]</w:t>
        </w:r>
      </w:hyperlink>
      <w:r>
        <w:t xml:space="preserve"> (The Flourish Group), </w:t>
      </w:r>
      <w:hyperlink r:id="rId10">
        <w:r>
          <w:rPr>
            <w:color w:val="0000EE"/>
            <w:u w:val="single"/>
          </w:rPr>
          <w:t>[2]</w:t>
        </w:r>
      </w:hyperlink>
      <w:r>
        <w:t xml:space="preserve"> (The Flourish Group)</w:t>
      </w:r>
      <w:r/>
    </w:p>
    <w:p>
      <w:pPr>
        <w:pStyle w:val="ListBullet"/>
        <w:spacing w:line="240" w:lineRule="auto"/>
        <w:ind w:left="720"/>
      </w:pPr>
      <w:r/>
      <w:r>
        <w:t xml:space="preserve">Paragraph 9 – </w:t>
      </w:r>
      <w:hyperlink r:id="rId9">
        <w:r>
          <w:rPr>
            <w:color w:val="0000EE"/>
            <w:u w:val="single"/>
          </w:rPr>
          <w:t>[1]</w:t>
        </w:r>
      </w:hyperlink>
      <w:r>
        <w:t xml:space="preserve"> (The Architect's Newspaper)</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https://www.archpaper.com/2025/10/flourish-group-london-community-centers/</w:t>
        </w:r>
      </w:hyperlink>
      <w:r>
        <w:t xml:space="preserve"> - Please view link - unable to able to access data</w:t>
      </w:r>
      <w:r/>
    </w:p>
    <w:p>
      <w:pPr>
        <w:pStyle w:val="ListNumber"/>
        <w:spacing w:line="240" w:lineRule="auto"/>
        <w:ind w:left="720"/>
      </w:pPr>
      <w:r/>
      <w:hyperlink r:id="rId10">
        <w:r>
          <w:rPr>
            <w:color w:val="0000EE"/>
            <w:u w:val="single"/>
          </w:rPr>
          <w:t>https://www.theflourishgroup.org.uk/meet-the-team</w:t>
        </w:r>
      </w:hyperlink>
      <w:r>
        <w:t xml:space="preserve"> - The Flourish Group is a female-led, global majority organisation dedicated to designing for social good and promoting creativity within communities. Their team includes founder and director Fran Lee, a multidisciplinary creative with over twenty years of experience across interiors, fashion, events, TV, and creative direction. The team also comprises Elana Friedman, a facilitator and leadership coach; Tori Reeve, a project manager with expertise in curating and project managing museum displays; and Raphael Dupont, the head of design. The organisation collaborates with various partners, including People Street, a research partner, and Happy Lizzy Event Planning (HLEP), an event partner. Their mission focuses on creating positive social impact by transforming public and community spaces into inspirational, welcoming environments, providing accessible creative opportunities, and supporting communities through art resources and creative workshops.</w:t>
      </w:r>
      <w:r/>
    </w:p>
    <w:p>
      <w:pPr>
        <w:pStyle w:val="ListNumber"/>
        <w:spacing w:line="240" w:lineRule="auto"/>
        <w:ind w:left="720"/>
      </w:pPr>
      <w:r/>
      <w:hyperlink r:id="rId13">
        <w:r>
          <w:rPr>
            <w:color w:val="0000EE"/>
            <w:u w:val="single"/>
          </w:rPr>
          <w:t>https://www.theflourishgroup.org.uk/governing</w:t>
        </w:r>
      </w:hyperlink>
      <w:r>
        <w:t xml:space="preserve"> - The Flourish Group CIC is a Community Interest Company Limited by Guarantee dedicated to designing for social good and promoting creativity within communities. Their objectives include creating positive social impact by transforming public and community spaces into inspirational, welcoming environments, providing accessible creative opportunities that foster inclusivity, resilience, equity, and well-being, and supporting communities by providing art resources and delivering creative workshops that encourage self-expression and community connection. The organisation operates through three main areas of focus: designing inspirational interiors, delivering creative workshops, and establishing Flourish-Banks to provide free or affordable art supplies. Their core values encompass equity, resilience, social justice, inclusivity, and human health and well-being. The Flourish Group collaborates with community members, stakeholders, architects, local authorities, and artists to achieve its mission.</w:t>
      </w:r>
      <w:r/>
    </w:p>
    <w:p>
      <w:pPr>
        <w:pStyle w:val="ListNumber"/>
        <w:spacing w:line="240" w:lineRule="auto"/>
        <w:ind w:left="720"/>
      </w:pPr>
      <w:r/>
      <w:hyperlink r:id="rId11">
        <w:r>
          <w:rPr>
            <w:color w:val="0000EE"/>
            <w:u w:val="single"/>
          </w:rPr>
          <w:t>https://www.theflourishgroup.org.uk/design-for-social-good</w:t>
        </w:r>
      </w:hyperlink>
      <w:r>
        <w:t xml:space="preserve"> - Flourish believes that community and public spaces should be designed with the community, not at them. They focus on creating places with meaning by engaging with communities to reflect their usage and serve their needs. Community collaboration is central to their approach, involving users in the design and installation process to foster a sense of ownership and connection. Sharing knowledge empowers volunteers and aims to change the way communities are designed for. Flourish's goal is to create spaces that people feel connected to, improving engagement and providing a sense of belonging. Their projects include transforming spaces like The Happy Hub in Queens Park and the Mini-Community Hubs at Charing Cross and Victoria Libraries, in collaboration with Westminster Council.</w:t>
      </w:r>
      <w:r/>
    </w:p>
    <w:p>
      <w:pPr>
        <w:pStyle w:val="ListNumber"/>
        <w:spacing w:line="240" w:lineRule="auto"/>
        <w:ind w:left="720"/>
      </w:pPr>
      <w:r/>
      <w:hyperlink r:id="rId12">
        <w:r>
          <w:rPr>
            <w:color w:val="0000EE"/>
            <w:u w:val="single"/>
          </w:rPr>
          <w:t>https://www.churchstreet.org/flourish_community_design_workshops</w:t>
        </w:r>
      </w:hyperlink>
      <w:r>
        <w:t xml:space="preserve"> - Flourish Community Design Workshops are interactive sessions aimed at shaping the inside and outside of community hubs. These workshops are open to all ages and encourage community involvement in the design process. An example is the session held on August 22, 2025, at 4 Lilestone Street, London NW8 8SU, where residents could participate in designing their community space. Such workshops exemplify Flourish's commitment to engaging communities in creating spaces that reflect their needs and preferences.</w:t>
      </w:r>
      <w:r/>
    </w:p>
    <w:p>
      <w:pPr>
        <w:pStyle w:val="ListNumber"/>
        <w:spacing w:line="240" w:lineRule="auto"/>
        <w:ind w:left="720"/>
      </w:pPr>
      <w:r/>
      <w:hyperlink r:id="rId15">
        <w:r>
          <w:rPr>
            <w:color w:val="0000EE"/>
            <w:u w:val="single"/>
          </w:rPr>
          <w:t>https://flourishtogether.org.uk/about-flourish-together/impact/</w:t>
        </w:r>
      </w:hyperlink>
      <w:r>
        <w:t xml:space="preserve"> - Flourish Together supports individuals, particularly women, in developing social and ethical ventures. Their impact includes supporting over 3,000 social ventures, investing in 150 women changemakers, and providing a £50K+ changemakers seed fund. They reinvest over 80% of their annual turnover into voluntary, community, and social enterprises (VCSEs). In the 2020–21 period, they supported 340 individuals (91% women and 9% men), delivered 1,136 interventions, supported 125 individuals intensively, helped start 44 new enterprises, and created 40 jobs. Additionally, they supported 138 entrepreneurs from black, Asian, or other culturally diverse backgrounds and assisted 225 social enterprise/purpose-led businesses.</w:t>
      </w:r>
      <w:r/>
    </w:p>
    <w:p>
      <w:pPr>
        <w:pStyle w:val="ListNumber"/>
        <w:spacing w:line="240" w:lineRule="auto"/>
        <w:ind w:left="720"/>
      </w:pPr>
      <w:r/>
      <w:hyperlink r:id="rId16">
        <w:r>
          <w:rPr>
            <w:color w:val="0000EE"/>
            <w:u w:val="single"/>
          </w:rPr>
          <w:t>https://www.projectflourish.co.uk/community</w:t>
        </w:r>
      </w:hyperlink>
      <w:r>
        <w:t xml:space="preserve"> - Project Flourish has a longstanding sponsorship agreement with the London Sports Trust, hosting numerous community days at the Canalside Activity Centre. These events have included activities such as food, games, competitions, and water sports, engaging families and young children from the local area. The partnership aims to support younger generations, ensuring a positive future for them and the broader community. Project Flourish also funds multiple programmes like 'Think Adventure, Skills for Life, Young Ambassador, Active Communities,' and is involved in re-providing the Activity Centre as a multi-sport facility, maintaining the relationship through design, planning, and construction phases.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paper.com/2025/10/flourish-group-london-community-centers/" TargetMode="External"/><Relationship Id="rId10" Type="http://schemas.openxmlformats.org/officeDocument/2006/relationships/hyperlink" Target="https://www.theflourishgroup.org.uk/meet-the-team" TargetMode="External"/><Relationship Id="rId11" Type="http://schemas.openxmlformats.org/officeDocument/2006/relationships/hyperlink" Target="https://www.theflourishgroup.org.uk/design-for-social-good" TargetMode="External"/><Relationship Id="rId12" Type="http://schemas.openxmlformats.org/officeDocument/2006/relationships/hyperlink" Target="https://www.churchstreet.org/flourish_community_design_workshops" TargetMode="External"/><Relationship Id="rId13" Type="http://schemas.openxmlformats.org/officeDocument/2006/relationships/hyperlink" Target="https://www.theflourishgroup.org.uk/governing" TargetMode="External"/><Relationship Id="rId14" Type="http://schemas.openxmlformats.org/officeDocument/2006/relationships/hyperlink" Target="https://www.noahwire.com" TargetMode="External"/><Relationship Id="rId15" Type="http://schemas.openxmlformats.org/officeDocument/2006/relationships/hyperlink" Target="https://flourishtogether.org.uk/about-flourish-together/impact/" TargetMode="External"/><Relationship Id="rId16" Type="http://schemas.openxmlformats.org/officeDocument/2006/relationships/hyperlink" Target="https://www.projectflourish.co.uk/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