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Water’s £20.5 billion plan to fix decades of environmental damage faces scepticism and prolonged timeline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 Water, the UK’s largest water supplier, is at the centre of controversy following the submission of a £20.5 billion turnaround plan by its creditors aimed at rehabilitating the company’s tarnished environmental and operational reputation. The plan, presented to the British water regulator Ofwat, outlines a long-term strategy designed to keep Thames Water in private hands while addressing decades of underinvestment and regulatory breaches. The creditors’ proposal anticipates it could take up to 15 years to achieve full compliance with the regulatory and environmental standards demanded of the company.</w:t>
      </w:r>
      <w:r/>
    </w:p>
    <w:p>
      <w:r/>
      <w:r>
        <w:t>According to the plan, Thames Water intends to reduce pollution incidents by at least 135 annually, introduce ultraviolet (UV) technology at key sewage treatment sites, and undertake the replacement of ageing Victorian-era mains to reduce supply interruptions. Proposed future company chair Mike McTighe acknowledged the scale of the challenge, stating, “There is a huge amount of work to be done to turn around Thames Water and deliver the improved service and environmental outcomes that customers and local communities deserve.” The company’s statement underscores its commitment to extensive rehabilitation but faces scepticism regarding the prolonged timeline for improvements.</w:t>
      </w:r>
      <w:r/>
    </w:p>
    <w:p>
      <w:r/>
      <w:r>
        <w:t>Criticism of the plan has come from various quarters, including advocacy groups such as We Own It, which argue that the restructuring serves mainly to evade more stringent public controls over the vital water service. The backdrop to this plan includes Ofwat’s imposition of a record fine against Thames Water, totalling £122.7 million, for breaches including unlawful dividend payments despite high debt levels and failures in wastewater operations. Ofwat has structured a payment plan for these penalties, with an initial 20% due by September 2025 and the balance payable contingent on specific corporate events like financial restructuring or the company exiting Special Administration Regime status.</w:t>
      </w:r>
      <w:r/>
    </w:p>
    <w:p>
      <w:r/>
      <w:r>
        <w:t>Environmental advocates and public watchdogs have highlighted the company’s long history of environmental violations. Data from Violation Tracker UK shows Thames Water has faced 102 enforcement actions since 2010, such as the 2017 incident causing the death of 1,400 fish in the Gatwick Stream, linked to faulty operational equipment. The severity of the pollution incidents is echoed in the health risks posed by contaminated waters; reports from Surfers Against Sewage note that over 1,800 people fell ill from polluted UK waters in 2024 alone.</w:t>
      </w:r>
      <w:r/>
    </w:p>
    <w:p>
      <w:r/>
      <w:r>
        <w:t>The public and regulatory response signals growing calls for accountability. Government figures, including Environment Secretary Steve Reed, have stressed that Thames Water must meet its legal and environmental obligations, with equitable consequences applied alongside other water companies. Simultaneously, voices like MP Charlie Maynard advocate for potential government intervention, even suggesting a temporary takeover to restore trust and performance standards.</w:t>
      </w:r>
      <w:r/>
    </w:p>
    <w:p>
      <w:r/>
      <w:r>
        <w:t>Ofwat has mandated a range of commitments as part of its ongoing regulatory oversight. Among these is the appointment of L.E.K. Consulting as an independent monitor to track Thames Water’s equity raise and transformation plan, ensuring regular reporting back to the regulator. The company is also required to develop a robust operational business plan, advance an equity raise to stabilise finances, and make board changes including the introduction of new non-executive directors. These measures will stay in place until Thames Water regains two investment-grade credit ratings, which it lost amidst financial uncertainty.</w:t>
      </w:r>
      <w:r/>
    </w:p>
    <w:p>
      <w:r/>
      <w:r>
        <w:t>Ofwat underscores the importance of these safeguards to protect customers despite shareholder turbulence. The regulator emphasises the need for Thames Water to explore all avenues for investment and to ensure a fair balance for bill payers who are absorbing rising charges—Ofwat has already approved a fee increase of over 35% to be applied until 2030 despite public dissatisfaction.</w:t>
      </w:r>
      <w:r/>
    </w:p>
    <w:p>
      <w:r/>
      <w:r>
        <w:t>Meanwhile, environmental groups continue to expose what they see as Thames Water’s greenwashing efforts, accusing the company of selective water quality sampling and misleading the public about pollution levels. Organisations like River Action and Surfers Against Sewage not only campaign for transparency but also encourage community involvement and donations to support independent environmental monitoring.</w:t>
      </w:r>
      <w:r/>
    </w:p>
    <w:p>
      <w:r/>
      <w:r>
        <w:t>Thames Water’s road to recovery is complex and fraught with significant challenges, both technical and reputational. While its creditors’ turnaround plan outlines a framework for gradual improvement, the extended timeline and continued regulatory scrutiny reflect deep-seated issues in the company’s operations and public trust. As the company moves forward under heavy regulatory gaze and citizen activism, the effectiveness of these measures and the company’s willingness to prioritise environmental and customer welfare will be closely watched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Cooldown, </w:t>
      </w:r>
      <w:hyperlink r:id="rId10">
        <w:r>
          <w:rPr>
            <w:color w:val="0000EE"/>
            <w:u w:val="single"/>
          </w:rPr>
          <w:t>[2]</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The Cooldown, </w:t>
      </w:r>
      <w:hyperlink r:id="rId10">
        <w:r>
          <w:rPr>
            <w:color w:val="0000EE"/>
            <w:u w:val="single"/>
          </w:rPr>
          <w:t>[2]</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The Cooldown, </w:t>
      </w:r>
      <w:hyperlink r:id="rId11">
        <w:r>
          <w:rPr>
            <w:color w:val="0000EE"/>
            <w:u w:val="single"/>
          </w:rPr>
          <w:t>[3]</w:t>
        </w:r>
      </w:hyperlink>
      <w:r>
        <w:t xml:space="preserve"> Ofwat </w:t>
      </w:r>
      <w:r/>
    </w:p>
    <w:p>
      <w:pPr>
        <w:pStyle w:val="ListBullet"/>
        <w:spacing w:line="240" w:lineRule="auto"/>
        <w:ind w:left="720"/>
      </w:pPr>
      <w:r/>
      <w:r>
        <w:t xml:space="preserve">Paragraph 4 – </w:t>
      </w:r>
      <w:hyperlink r:id="rId9">
        <w:r>
          <w:rPr>
            <w:color w:val="0000EE"/>
            <w:u w:val="single"/>
          </w:rPr>
          <w:t>[1]</w:t>
        </w:r>
      </w:hyperlink>
      <w:r>
        <w:t xml:space="preserve"> The Cooldown, </w:t>
      </w:r>
      <w:hyperlink r:id="rId11">
        <w:r>
          <w:rPr>
            <w:color w:val="0000EE"/>
            <w:u w:val="single"/>
          </w:rPr>
          <w:t>[3]</w:t>
        </w:r>
      </w:hyperlink>
      <w:r>
        <w:t xml:space="preserve"> Ofwat, </w:t>
      </w:r>
      <w:hyperlink r:id="rId12">
        <w:r>
          <w:rPr>
            <w:color w:val="0000EE"/>
            <w:u w:val="single"/>
          </w:rPr>
          <w:t>[5]</w:t>
        </w:r>
      </w:hyperlink>
      <w:r>
        <w:t xml:space="preserve"> Ofwat </w:t>
      </w:r>
      <w:r/>
    </w:p>
    <w:p>
      <w:pPr>
        <w:pStyle w:val="ListBullet"/>
        <w:spacing w:line="240" w:lineRule="auto"/>
        <w:ind w:left="720"/>
      </w:pPr>
      <w:r/>
      <w:r>
        <w:t xml:space="preserve">Paragraph 5 – </w:t>
      </w:r>
      <w:hyperlink r:id="rId9">
        <w:r>
          <w:rPr>
            <w:color w:val="0000EE"/>
            <w:u w:val="single"/>
          </w:rPr>
          <w:t>[1]</w:t>
        </w:r>
      </w:hyperlink>
      <w:r>
        <w:t xml:space="preserve"> The Cooldown, </w:t>
      </w:r>
      <w:hyperlink r:id="rId10">
        <w:r>
          <w:rPr>
            <w:color w:val="0000EE"/>
            <w:u w:val="single"/>
          </w:rPr>
          <w:t>[2]</w:t>
        </w:r>
      </w:hyperlink>
      <w:r>
        <w:t xml:space="preserve"> The Guardian </w:t>
      </w:r>
      <w:r/>
    </w:p>
    <w:p>
      <w:pPr>
        <w:pStyle w:val="ListBullet"/>
        <w:spacing w:line="240" w:lineRule="auto"/>
        <w:ind w:left="720"/>
      </w:pPr>
      <w:r/>
      <w:r>
        <w:t xml:space="preserve">Paragraph 6 – </w:t>
      </w:r>
      <w:hyperlink r:id="rId9">
        <w:r>
          <w:rPr>
            <w:color w:val="0000EE"/>
            <w:u w:val="single"/>
          </w:rPr>
          <w:t>[1]</w:t>
        </w:r>
      </w:hyperlink>
      <w:r>
        <w:t xml:space="preserve"> The Cooldown, </w:t>
      </w:r>
      <w:hyperlink r:id="rId13">
        <w:r>
          <w:rPr>
            <w:color w:val="0000EE"/>
            <w:u w:val="single"/>
          </w:rPr>
          <w:t>[6]</w:t>
        </w:r>
      </w:hyperlink>
      <w:r>
        <w:t xml:space="preserve"> Ofwat </w:t>
      </w:r>
      <w:r/>
    </w:p>
    <w:p>
      <w:pPr>
        <w:pStyle w:val="ListBullet"/>
        <w:spacing w:line="240" w:lineRule="auto"/>
        <w:ind w:left="720"/>
      </w:pPr>
      <w:r/>
      <w:r>
        <w:t xml:space="preserve">Paragraph 7 – </w:t>
      </w:r>
      <w:hyperlink r:id="rId9">
        <w:r>
          <w:rPr>
            <w:color w:val="0000EE"/>
            <w:u w:val="single"/>
          </w:rPr>
          <w:t>[1]</w:t>
        </w:r>
      </w:hyperlink>
      <w:r>
        <w:t xml:space="preserve"> The Cooldown, </w:t>
      </w:r>
      <w:hyperlink r:id="rId14">
        <w:r>
          <w:rPr>
            <w:color w:val="0000EE"/>
            <w:u w:val="single"/>
          </w:rPr>
          <w:t>[4]</w:t>
        </w:r>
      </w:hyperlink>
      <w:r>
        <w:t xml:space="preserve"> Ofwat, </w:t>
      </w:r>
      <w:hyperlink r:id="rId12">
        <w:r>
          <w:rPr>
            <w:color w:val="0000EE"/>
            <w:u w:val="single"/>
          </w:rPr>
          <w:t>[5]</w:t>
        </w:r>
      </w:hyperlink>
      <w:r>
        <w:t xml:space="preserve"> Ofwat, </w:t>
      </w:r>
      <w:hyperlink r:id="rId15">
        <w:r>
          <w:rPr>
            <w:color w:val="0000EE"/>
            <w:u w:val="single"/>
          </w:rPr>
          <w:t>[7]</w:t>
        </w:r>
      </w:hyperlink>
      <w:r>
        <w:t xml:space="preserve"> Ofwat </w:t>
      </w:r>
      <w:r/>
    </w:p>
    <w:p>
      <w:pPr>
        <w:pStyle w:val="ListBullet"/>
        <w:spacing w:line="240" w:lineRule="auto"/>
        <w:ind w:left="720"/>
      </w:pPr>
      <w:r/>
      <w:r>
        <w:t xml:space="preserve">Paragraph 8 – </w:t>
      </w:r>
      <w:hyperlink r:id="rId9">
        <w:r>
          <w:rPr>
            <w:color w:val="0000EE"/>
            <w:u w:val="single"/>
          </w:rPr>
          <w:t>[1]</w:t>
        </w:r>
      </w:hyperlink>
      <w:r>
        <w:t xml:space="preserve"> The Cooldown, </w:t>
      </w:r>
      <w:hyperlink r:id="rId13">
        <w:r>
          <w:rPr>
            <w:color w:val="0000EE"/>
            <w:u w:val="single"/>
          </w:rPr>
          <w:t>[6]</w:t>
        </w:r>
      </w:hyperlink>
      <w:r>
        <w:t xml:space="preserve"> Ofwat </w:t>
      </w:r>
      <w:r/>
    </w:p>
    <w:p>
      <w:pPr>
        <w:pStyle w:val="ListBullet"/>
        <w:spacing w:line="240" w:lineRule="auto"/>
        <w:ind w:left="720"/>
      </w:pPr>
      <w:r/>
      <w:r>
        <w:t xml:space="preserve">Paragraph 9 – </w:t>
      </w:r>
      <w:hyperlink r:id="rId9">
        <w:r>
          <w:rPr>
            <w:color w:val="0000EE"/>
            <w:u w:val="single"/>
          </w:rPr>
          <w:t>[1]</w:t>
        </w:r>
      </w:hyperlink>
      <w:r>
        <w:t xml:space="preserve"> The Cooldown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https://www.thecooldown.com/green-business/thames-water-creditors-plan-restructuring/</w:t>
        </w:r>
      </w:hyperlink>
      <w:r>
        <w:t xml:space="preserve"> - Please view link - unable to able to access data</w:t>
      </w:r>
      <w:r/>
    </w:p>
    <w:p>
      <w:pPr>
        <w:pStyle w:val="ListNumber"/>
        <w:spacing w:line="240" w:lineRule="auto"/>
        <w:ind w:left="720"/>
      </w:pPr>
      <w:r/>
      <w:hyperlink r:id="rId10">
        <w:r>
          <w:rPr>
            <w:color w:val="0000EE"/>
            <w:u w:val="single"/>
          </w:rPr>
          <w:t>https://www.theguardian.com/environment/2025/aug/28/thames-water-creditors-15-year-plan</w:t>
        </w:r>
      </w:hyperlink>
      <w:r>
        <w:t xml:space="preserve"> - Thames Water's creditors have proposed a £20.5 billion turnaround plan to the British water regulator Ofwat, aiming to keep the company private while rebuilding public trust through major system rehabilitation. The plan includes reducing pollution incidents by at least 135 annually, implementing UV technology at key sewage treatment sites, and replacing old Victorian mains to reduce supply interruptions. Proposed future company chair Mike McTighe stated, 'There is a huge amount of work to be done to turn around Thames Water and deliver the improved service and environmental outcomes that customers and local communities deserve.' Critics, including the advocacy group We Own It, view the proposal as an attempt to evade tougher public control measures.</w:t>
      </w:r>
      <w:r/>
    </w:p>
    <w:p>
      <w:pPr>
        <w:pStyle w:val="ListNumber"/>
        <w:spacing w:line="240" w:lineRule="auto"/>
        <w:ind w:left="720"/>
      </w:pPr>
      <w:r/>
      <w:hyperlink r:id="rId11">
        <w:r>
          <w:rPr>
            <w:color w:val="0000EE"/>
            <w:u w:val="single"/>
          </w:rPr>
          <w:t>https://www.ofwat.gov.uk/ofwat-confirms-thames-water-penalties-payment-plan/</w:t>
        </w:r>
      </w:hyperlink>
      <w:r>
        <w:t xml:space="preserve"> - Ofwat has confirmed a payment plan for Thames Water's penalties, following the company's breaches in wastewater operations and dividend payments. The plan stipulates that 20% of the £122.7 million total penalties be paid by 30 September 2025, with the remaining 80% due upon specific events, such as financial restructuring or exiting the Special Administration Regime. Ofwat's Senior Director of Enforcement, Lynn Parker, emphasized the importance of holding Thames Water accountable while recognizing the ongoing equity raise and recapitalisation process.</w:t>
      </w:r>
      <w:r/>
    </w:p>
    <w:p>
      <w:pPr>
        <w:pStyle w:val="ListNumber"/>
        <w:spacing w:line="240" w:lineRule="auto"/>
        <w:ind w:left="720"/>
      </w:pPr>
      <w:r/>
      <w:hyperlink r:id="rId14">
        <w:r>
          <w:rPr>
            <w:color w:val="0000EE"/>
            <w:u w:val="single"/>
          </w:rPr>
          <w:t>https://www.ofwat.gov.uk/ofwat-confirms-actions-for-thames-water-following-investment-credit-rating-downgrade/</w:t>
        </w:r>
      </w:hyperlink>
      <w:r>
        <w:t xml:space="preserve"> - Following Thames Water's loss of its investment-grade credit ratings, Ofwat has confirmed the implementation of commitments from the company to remedy the licence breach. These commitments include appointing an independent Monitor to report on the company's progress, developing a suitable operational business plan for turnaround, taking steps to deliver an equity raise, and making new non-executive director board appointments. These measures will remain in place until Thames Water regains two investment-grade credit ratings.</w:t>
      </w:r>
      <w:r/>
    </w:p>
    <w:p>
      <w:pPr>
        <w:pStyle w:val="ListNumber"/>
        <w:spacing w:line="240" w:lineRule="auto"/>
        <w:ind w:left="720"/>
      </w:pPr>
      <w:r/>
      <w:hyperlink r:id="rId12">
        <w:r>
          <w:rPr>
            <w:color w:val="0000EE"/>
            <w:u w:val="single"/>
          </w:rPr>
          <w:t>https://www.ofwat.gov.uk/thames-water-independent-monitor-is-appointed/</w:t>
        </w:r>
      </w:hyperlink>
      <w:r>
        <w:t xml:space="preserve"> - Ofwat has appointed L.E.K. Consulting as the independent Monitor to report on Thames Water's progress against its equity raise and transformation plans. The Monitor will report back to Ofwat frequently as part of their activity. This appointment is part of a package of commitments from Thames Water to remedy its licence breach following the loss of its investment-grade credit ratings. The commitments will remain in place until the company regains two investment-grade credit ratings.</w:t>
      </w:r>
      <w:r/>
    </w:p>
    <w:p>
      <w:pPr>
        <w:pStyle w:val="ListNumber"/>
        <w:spacing w:line="240" w:lineRule="auto"/>
        <w:ind w:left="720"/>
      </w:pPr>
      <w:r/>
      <w:hyperlink r:id="rId13">
        <w:r>
          <w:rPr>
            <w:color w:val="0000EE"/>
            <w:u w:val="single"/>
          </w:rPr>
          <w:t>https://www.ofwat.gov.uk/ofwat-statement-thames-water/</w:t>
        </w:r>
      </w:hyperlink>
      <w:r>
        <w:t xml:space="preserve"> - In response to Thames Water's announcement, Ofwat has stated that safeguards are in place to ensure that services to customers are protected regardless of issues faced by shareholders. Ofwat emphasized the need for Thames Water to pursue all options to seek further equity for the business to turn around its performance for customers. The regulator also highlighted the importance of attracting investment and ensuring fairness to bill payers in the water sector.</w:t>
      </w:r>
      <w:r/>
    </w:p>
    <w:p>
      <w:pPr>
        <w:pStyle w:val="ListNumber"/>
        <w:spacing w:line="240" w:lineRule="auto"/>
        <w:ind w:left="720"/>
      </w:pPr>
      <w:r/>
      <w:hyperlink r:id="rId15">
        <w:r>
          <w:rPr>
            <w:color w:val="0000EE"/>
            <w:u w:val="single"/>
          </w:rPr>
          <w:t>https://www.ofwat.gov.uk/ofwat-looks-to-appoint-independent-monitor-to-thames-water/</w:t>
        </w:r>
      </w:hyperlink>
      <w:r>
        <w:t xml:space="preserve"> - Ofwat has published a series of commitments that Thames Water will agree to comply with after it lost two investment-grade credit ratings. These commitments include the appointment of an independent Monitor to report on the company's progress, developing a suitable operational business plan for turnaround, taking steps to deliver an equity raise, and making new non-executive director board appointments. These measures will remain in place until Thames Water regains two investment-grade credit ratings.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oldown.com/green-business/thames-water-creditors-plan-restructuring/" TargetMode="External"/><Relationship Id="rId10" Type="http://schemas.openxmlformats.org/officeDocument/2006/relationships/hyperlink" Target="https://www.theguardian.com/environment/2025/aug/28/thames-water-creditors-15-year-plan" TargetMode="External"/><Relationship Id="rId11" Type="http://schemas.openxmlformats.org/officeDocument/2006/relationships/hyperlink" Target="https://www.ofwat.gov.uk/ofwat-confirms-thames-water-penalties-payment-plan/" TargetMode="External"/><Relationship Id="rId12" Type="http://schemas.openxmlformats.org/officeDocument/2006/relationships/hyperlink" Target="https://www.ofwat.gov.uk/thames-water-independent-monitor-is-appointed/" TargetMode="External"/><Relationship Id="rId13" Type="http://schemas.openxmlformats.org/officeDocument/2006/relationships/hyperlink" Target="https://www.ofwat.gov.uk/ofwat-statement-thames-water/" TargetMode="External"/><Relationship Id="rId14" Type="http://schemas.openxmlformats.org/officeDocument/2006/relationships/hyperlink" Target="https://www.ofwat.gov.uk/ofwat-confirms-actions-for-thames-water-following-investment-credit-rating-downgrade/" TargetMode="External"/><Relationship Id="rId15" Type="http://schemas.openxmlformats.org/officeDocument/2006/relationships/hyperlink" Target="https://www.ofwat.gov.uk/ofwat-looks-to-appoint-independent-monitor-to-thames-wa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