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attention on Tube Investments of India as valuation debate intensifies amid strategic ambitions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Tube Investments of India (TII), the Murugappa Group engineering and auto‑components company, remains the centre of intense market focus on 10 December 2025 as traders chase liquidity while longer‑term investors argue over whether the group’s premium valuation still makes sense given a mixed earnings trajectory and heavy investment into new businesses. According to the original report, intraday activity on the National Stock Exchange placed the share price in the mid‑₹2,600s by mid‑afternoon, with a market capitalisation in the region of ₹51,200–51,500 crore and elevated volumes and derivatives interest underpinning volatile, F&amp;O‑driven trading.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[7]</w:t>
        </w:r>
      </w:hyperlink>
      <w:r/>
    </w:p>
    <w:p>
      <w:r/>
      <w:r>
        <w:t xml:space="preserve">The immediate market picture is one of muted price movement but abundant liquidity: intra‑day ranges on both exchanges have been relatively tight even as day volumes approached multi‑million share levels and delivery metrics rose, signs that both institutional and speculative participants are actively repositioning around fresh corporate news and quarterly results. Industry data shows delivery volumes and value turnover were notably high in early trading on 10 December, while open interest in TII derivatives has climbed in recent sessions. </w:t>
      </w:r>
      <w:hyperlink r:id="rId9">
        <w:r>
          <w:rPr>
            <w:color w:val="0000EE"/>
            <w:u w:val="single"/>
          </w:rPr>
          <w:t>[1]</w:t>
        </w:r>
      </w:hyperlink>
      <w:hyperlink r:id="rId11">
        <w:r>
          <w:rPr>
            <w:color w:val="0000EE"/>
            <w:u w:val="single"/>
          </w:rPr>
          <w:t>[4]</w:t>
        </w:r>
      </w:hyperlink>
      <w:hyperlink r:id="rId13">
        <w:r>
          <w:rPr>
            <w:color w:val="0000EE"/>
            <w:u w:val="single"/>
          </w:rPr>
          <w:t>[5]</w:t>
        </w:r>
      </w:hyperlink>
      <w:r/>
    </w:p>
    <w:p>
      <w:r/>
      <w:r>
        <w:t xml:space="preserve">That trading backdrop conceals a deeper story of valuation compression over the past year. The stock sits roughly 30–31% below its 52‑week peak, with one‑year returns negative and a trailing P/E that remains very high for the sector , recent price/earnings estimates from market data providers place the ratio well above industry peers. Brokerages note the derating reflects a shift from “pay any price” EV optimism to a more granular assessment of execution and profit conversion. </w:t>
      </w:r>
      <w:hyperlink r:id="rId9">
        <w:r>
          <w:rPr>
            <w:color w:val="0000EE"/>
            <w:u w:val="single"/>
          </w:rPr>
          <w:t>[1]</w:t>
        </w:r>
      </w:hyperlink>
      <w:hyperlink r:id="rId14">
        <w:r>
          <w:rPr>
            <w:color w:val="0000EE"/>
            <w:u w:val="single"/>
          </w:rPr>
          <w:t>[6]</w:t>
        </w:r>
      </w:hyperlink>
      <w:hyperlink r:id="rId12">
        <w:r>
          <w:rPr>
            <w:color w:val="0000EE"/>
            <w:u w:val="single"/>
          </w:rPr>
          <w:t>[7]</w:t>
        </w:r>
      </w:hyperlink>
      <w:r/>
    </w:p>
    <w:p>
      <w:r/>
      <w:r>
        <w:t xml:space="preserve">Fundamentally, TII continues to compound revenue while reporting pressure on profit growth. Consolidated revenue for Q2 FY26 was about ₹5,523 crore, up around 12% year‑on‑year, while operating profit and margins were described by several brokerage rapid‑result notes as steady but not expanding. Trailing twelve‑month profit metrics, however, show weakness: FY25 consolidated sales rose close to 15% year‑on‑year, but consolidated PAT for FY25 and TTM profit figures have declined, reflecting higher depreciation, interest and start‑up losses from new ventures. Industry analysts characterise the recent quarter as “stable to mildly positive” , top‑line momentum intact, margins resilient but profit growth cooling. </w:t>
      </w:r>
      <w:hyperlink r:id="rId9">
        <w:r>
          <w:rPr>
            <w:color w:val="0000EE"/>
            <w:u w:val="single"/>
          </w:rPr>
          <w:t>[1]</w:t>
        </w:r>
      </w:hyperlink>
      <w:hyperlink r:id="rId11">
        <w:r>
          <w:rPr>
            <w:color w:val="0000EE"/>
            <w:u w:val="single"/>
          </w:rPr>
          <w:t>[4]</w:t>
        </w:r>
      </w:hyperlink>
      <w:r/>
    </w:p>
    <w:p>
      <w:r/>
      <w:r>
        <w:t xml:space="preserve">Several corporate developments in late November and early December have been factored into market sentiment. The company disclosed an ESG score of 70 from SES ESG Research for FY 2024–25 and obtained exchange approvals to reclassify Yanmar Coromandel Agrisolutions Pvt Ltd from promoter group to public shareholder, modestly changing promoter‑float optics. Credit agencies reaffirmed TII’s credit lines in late November, and India Ratings affirmed TI Clean Mobility’s bank facilities in early November, citing strategic support from the parent , together these moves point to a cleaner ownership profile, improving ESG signalling and an intact credit profile. </w:t>
      </w:r>
      <w:hyperlink r:id="rId9">
        <w:r>
          <w:rPr>
            <w:color w:val="0000EE"/>
            <w:u w:val="single"/>
          </w:rPr>
          <w:t>[1]</w:t>
        </w:r>
      </w:hyperlink>
      <w:r/>
    </w:p>
    <w:p>
      <w:r/>
      <w:r>
        <w:t xml:space="preserve">TII’s strategic argument rests on three concurrent objectives: defending leadership in precision tubes and metal‑formed products, reviving its bicycle business, and scaling an ambitious electric‑vehicle platform through TI Clean Mobility alongside new bets in semiconductors and medical devices. According to company disclosures and reporting, TI Clean Mobility generated roughly ₹650 crore of turnover in FY25, has secured the bulk of a planned ₹3,000 crore funding package and is pursuing a $1 billion revenue target by FY29–FY30 with manufacturing capacity already in place across multiple plants. At the same time, subsidiaries and new ventures such as an OSAT‑linked semiconductor push and TI Medical add capital intensity and execution risk. </w:t>
      </w:r>
      <w:hyperlink r:id="rId9">
        <w:r>
          <w:rPr>
            <w:color w:val="0000EE"/>
            <w:u w:val="single"/>
          </w:rPr>
          <w:t>[1]</w:t>
        </w:r>
      </w:hyperlink>
      <w:r/>
    </w:p>
    <w:p>
      <w:r/>
      <w:r>
        <w:t xml:space="preserve">The group picture is mixed. Legacy engineering units still deliver strong returns on capital , ROCE and other return metrics remained healthy in FY25 , but certain subsidiaries have shown strain: Shanthi Gears reported a year‑on‑year profit decline in Q2, and the bicycle division continues to face fierce competition and low margins. Management has accepted near‑term margin pressure in places as the price of optionality, but analysts warn that converting EV, semiconductor and healthcare investments into reliable cash flow is the key test for sustaining a premium multiple. </w:t>
      </w:r>
      <w:hyperlink r:id="rId9">
        <w:r>
          <w:rPr>
            <w:color w:val="0000EE"/>
            <w:u w:val="single"/>
          </w:rPr>
          <w:t>[1]</w:t>
        </w:r>
      </w:hyperlink>
      <w:r/>
    </w:p>
    <w:p>
      <w:r/>
      <w:r>
        <w:t xml:space="preserve">Sell‑side research remains predominantly constructive, with recent broker targets implying 30–45% upside from mid‑December levels on the assumption of successful execution and continued top‑line growth. Brokerages including Geojit BNP Paribas and Motilal Oswal have reiterated Buy stances and multi‑thousand‑rupee targets, citing capex‑led growth, a stable core business and emerging high‑growth verticals; independent thematic pieces have likewise placed TII among candidates to benefit from a larger auto‑components market over the decade. However, sell‑side optimism is tempered by cautions on high valuation, execution timelines and sensitivity to cyclical demand. </w:t>
      </w:r>
      <w:hyperlink r:id="rId9">
        <w:r>
          <w:rPr>
            <w:color w:val="0000EE"/>
            <w:u w:val="single"/>
          </w:rPr>
          <w:t>[1]</w:t>
        </w:r>
      </w:hyperlink>
      <w:r/>
    </w:p>
    <w:p>
      <w:r/>
      <w:r>
        <w:t xml:space="preserve">The risks are clear and widely documented: scaling TI Clean Mobility from ₹650 crore to near $1 billion requires rapid and flawless execution across product launches, manufacturing scale‑up, dealer and after‑sales networks; semiconductor and OSAT investments are capital‑intensive with long gestation and global competition; and persistent margin pressure from new ventures can keep reported profits subdued even as revenues grow. With institutional ownership elevated, any quarterly miss or slower‑than‑expected ramp could amplify volatility given the stock’s stretched multiple and active derivatives positioning. </w:t>
      </w:r>
      <w:hyperlink r:id="rId9">
        <w:r>
          <w:rPr>
            <w:color w:val="0000EE"/>
            <w:u w:val="single"/>
          </w:rPr>
          <w:t>[1]</w:t>
        </w:r>
      </w:hyperlink>
      <w:r/>
    </w:p>
    <w:p>
      <w:r/>
      <w:r>
        <w:t xml:space="preserve">On 10 December 2025 the narrative is therefore paradoxical: Tube Investments of India remains a high‑quality industrial compounder that is being priced like a multi‑option growth story. The immediate market tells of traders and institutions actively repositioning around fresh disclosures and quarterly execution, while the longer‑term investment case will hinge on whether the company can translate its EV, semiconductor and medical‑device investments into durable profits without sacrificing capital discipline. Investors watching TII should track near‑term quarterly milestones as the acid test for the premium the market is being asked to pay.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(ts2.tech / lead article)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(Moneycontrol) - Paragraph 1, Paragraph 3 </w:t>
      </w:r>
      <w:r/>
    </w:p>
    <w:p>
      <w:pPr>
        <w:pStyle w:val="ListBullet"/>
        <w:spacing w:line="240" w:lineRule="auto"/>
        <w:ind w:left="720"/>
      </w:pPr>
      <w:r/>
      <w:hyperlink r:id="rId11">
        <w:r>
          <w:rPr>
            <w:color w:val="0000EE"/>
            <w:u w:val="single"/>
          </w:rPr>
          <w:t>[4]</w:t>
        </w:r>
      </w:hyperlink>
      <w:r>
        <w:t xml:space="preserve"> (Trendlyne / lead summaries) - Paragraph 1, Paragraph 2, Paragraph 4 </w:t>
      </w:r>
      <w:r/>
    </w:p>
    <w:p>
      <w:pPr>
        <w:pStyle w:val="ListBullet"/>
        <w:spacing w:line="240" w:lineRule="auto"/>
        <w:ind w:left="720"/>
      </w:pPr>
      <w:r/>
      <w:hyperlink r:id="rId13">
        <w:r>
          <w:rPr>
            <w:color w:val="0000EE"/>
            <w:u w:val="single"/>
          </w:rPr>
          <w:t>[5]</w:t>
        </w:r>
      </w:hyperlink>
      <w:r>
        <w:t xml:space="preserve"> (MarketsMojo) - Paragraph 2, Paragraph 9 </w:t>
      </w:r>
      <w:r/>
    </w:p>
    <w:p>
      <w:pPr>
        <w:pStyle w:val="ListBullet"/>
        <w:spacing w:line="240" w:lineRule="auto"/>
        <w:ind w:left="720"/>
      </w:pPr>
      <w:r/>
      <w:hyperlink r:id="rId14">
        <w:r>
          <w:rPr>
            <w:color w:val="0000EE"/>
            <w:u w:val="single"/>
          </w:rPr>
          <w:t>[6]</w:t>
        </w:r>
      </w:hyperlink>
      <w:r>
        <w:t xml:space="preserve"> (Trendlyne / price data) - Paragraph 3 </w:t>
      </w:r>
      <w:r/>
    </w:p>
    <w:p>
      <w:pPr>
        <w:pStyle w:val="ListBullet"/>
        <w:spacing w:line="240" w:lineRule="auto"/>
        <w:ind w:left="720"/>
      </w:pPr>
      <w:r/>
      <w:hyperlink r:id="rId12">
        <w:r>
          <w:rPr>
            <w:color w:val="0000EE"/>
            <w:u w:val="single"/>
          </w:rPr>
          <w:t>[7]</w:t>
        </w:r>
      </w:hyperlink>
      <w:r>
        <w:t xml:space="preserve"> (LiveMint / market stats) - Paragraph 1, Paragraph 3 </w:t>
      </w:r>
      <w:r/>
    </w:p>
    <w:p>
      <w:pPr>
        <w:pStyle w:val="ListBullet"/>
        <w:spacing w:line="240" w:lineRule="auto"/>
        <w:ind w:left="720"/>
      </w:pPr>
      <w:r/>
      <w:r>
        <w:t xml:space="preserve">(Screener / valuation data) - Paragraph 3, Paragraph 4 </w:t>
      </w:r>
      <w:r/>
    </w:p>
    <w:p>
      <w:pPr>
        <w:pStyle w:val="ListBullet"/>
        <w:spacing w:line="240" w:lineRule="auto"/>
        <w:ind w:left="720"/>
      </w:pPr>
      <w:r/>
      <w:r>
        <w:t xml:space="preserve">(MarketsMojo open interest) - Paragraph 2, Paragraph 9 </w:t>
      </w:r>
      <w:r/>
    </w:p>
    <w:p>
      <w:pPr>
        <w:pStyle w:val="ListBullet"/>
        <w:spacing w:line="240" w:lineRule="auto"/>
        <w:ind w:left="720"/>
      </w:pPr>
      <w:r/>
      <w:r>
        <w:t xml:space="preserve">(Business Standard market note) - Paragraph 2, Paragraph 9 </w:t>
      </w:r>
      <w:r/>
    </w:p>
    <w:p>
      <w:pPr>
        <w:pStyle w:val="ListBullet"/>
        <w:spacing w:line="240" w:lineRule="auto"/>
        <w:ind w:left="720"/>
      </w:pPr>
      <w:r/>
      <w:r>
        <w:t xml:space="preserve">(Screener / promoter reclassification) - Paragraph 5 </w:t>
      </w:r>
      <w:r/>
    </w:p>
    <w:p>
      <w:pPr>
        <w:pStyle w:val="ListBullet"/>
        <w:spacing w:line="240" w:lineRule="auto"/>
        <w:ind w:left="720"/>
      </w:pPr>
      <w:r/>
      <w:r>
        <w:t xml:space="preserve">(Screener / shareholding data) - Paragraph 5 </w:t>
      </w:r>
      <w:r/>
    </w:p>
    <w:p>
      <w:pPr>
        <w:pStyle w:val="ListBullet"/>
        <w:spacing w:line="240" w:lineRule="auto"/>
        <w:ind w:left="720"/>
      </w:pPr>
      <w:r/>
      <w:r>
        <w:t xml:space="preserve">(Screener / ESG score) - Paragraph 5 </w:t>
      </w:r>
      <w:r/>
    </w:p>
    <w:p>
      <w:pPr>
        <w:pStyle w:val="ListBullet"/>
        <w:spacing w:line="240" w:lineRule="auto"/>
        <w:ind w:left="720"/>
      </w:pPr>
      <w:r/>
      <w:r>
        <w:t xml:space="preserve">(Pestel‑analysis / company disclosures) - Paragraph 5 </w:t>
      </w:r>
      <w:r/>
    </w:p>
    <w:p>
      <w:pPr>
        <w:pStyle w:val="ListBullet"/>
        <w:spacing w:line="240" w:lineRule="auto"/>
        <w:ind w:left="720"/>
      </w:pPr>
      <w:r/>
      <w:r>
        <w:t xml:space="preserve">(Screener / ICRA ratings) - Paragraph 5 </w:t>
      </w:r>
      <w:r/>
    </w:p>
    <w:p>
      <w:pPr>
        <w:pStyle w:val="ListBullet"/>
        <w:spacing w:line="240" w:lineRule="auto"/>
        <w:ind w:left="720"/>
      </w:pPr>
      <w:r/>
      <w:r>
        <w:t xml:space="preserve">(India Ratings) - Paragraph 5 </w:t>
      </w:r>
      <w:r/>
    </w:p>
    <w:p>
      <w:pPr>
        <w:pStyle w:val="ListBullet"/>
        <w:spacing w:line="240" w:lineRule="auto"/>
        <w:ind w:left="720"/>
      </w:pPr>
      <w:r/>
      <w:r>
        <w:t xml:space="preserve">(Business Standard / TI Clean Mobility funding) - Paragraph 6 </w:t>
      </w:r>
      <w:r/>
    </w:p>
    <w:p>
      <w:pPr>
        <w:pStyle w:val="ListBullet"/>
        <w:spacing w:line="240" w:lineRule="auto"/>
        <w:ind w:left="720"/>
      </w:pPr>
      <w:r/>
      <w:r>
        <w:t xml:space="preserve">(Business Standard / product lines) - Paragraph 6 </w:t>
      </w:r>
      <w:r/>
    </w:p>
    <w:p>
      <w:pPr>
        <w:pStyle w:val="ListBullet"/>
        <w:spacing w:line="240" w:lineRule="auto"/>
        <w:ind w:left="720"/>
      </w:pPr>
      <w:r/>
      <w:r>
        <w:t xml:space="preserve">(Business Standard / capacity) - Paragraph 6 </w:t>
      </w:r>
      <w:r/>
    </w:p>
    <w:p>
      <w:pPr>
        <w:pStyle w:val="ListBullet"/>
        <w:spacing w:line="240" w:lineRule="auto"/>
        <w:ind w:left="720"/>
      </w:pPr>
      <w:r/>
      <w:r>
        <w:t xml:space="preserve">(Times of India / Shanthi Gears) - Paragraph 7 </w:t>
      </w:r>
      <w:r/>
    </w:p>
    <w:p>
      <w:pPr>
        <w:pStyle w:val="ListBullet"/>
        <w:spacing w:line="240" w:lineRule="auto"/>
        <w:ind w:left="720"/>
      </w:pPr>
      <w:r/>
      <w:r>
        <w:t xml:space="preserve">(Screener / Q2 revenue) - Paragraph 4 </w:t>
      </w:r>
      <w:r/>
    </w:p>
    <w:p>
      <w:pPr>
        <w:pStyle w:val="ListBullet"/>
        <w:spacing w:line="240" w:lineRule="auto"/>
        <w:ind w:left="720"/>
      </w:pPr>
      <w:r/>
      <w:r>
        <w:t xml:space="preserve">(Screener / EBITDA) - Paragraph 4 </w:t>
      </w:r>
      <w:r/>
    </w:p>
    <w:p>
      <w:pPr>
        <w:pStyle w:val="ListBullet"/>
        <w:spacing w:line="240" w:lineRule="auto"/>
        <w:ind w:left="720"/>
      </w:pPr>
      <w:r/>
      <w:r>
        <w:t xml:space="preserve">(Screener / PBT &amp; NP) - Paragraph 4 </w:t>
      </w:r>
      <w:r/>
    </w:p>
    <w:p>
      <w:pPr>
        <w:pStyle w:val="ListBullet"/>
        <w:spacing w:line="240" w:lineRule="auto"/>
        <w:ind w:left="720"/>
      </w:pPr>
      <w:r/>
      <w:r>
        <w:t xml:space="preserve">(Screener / FY25 sales) - Paragraph 4 </w:t>
      </w:r>
      <w:r/>
    </w:p>
    <w:p>
      <w:pPr>
        <w:pStyle w:val="ListBullet"/>
        <w:spacing w:line="240" w:lineRule="auto"/>
        <w:ind w:left="720"/>
      </w:pPr>
      <w:r/>
      <w:r>
        <w:t xml:space="preserve">(Screener / FY25 PAT) - Paragraph 4 </w:t>
      </w:r>
      <w:r/>
    </w:p>
    <w:p>
      <w:pPr>
        <w:pStyle w:val="ListBullet"/>
        <w:spacing w:line="240" w:lineRule="auto"/>
        <w:ind w:left="720"/>
      </w:pPr>
      <w:r/>
      <w:r>
        <w:t xml:space="preserve">(Screener / TTM profit) - Paragraph 4 </w:t>
      </w:r>
      <w:r/>
    </w:p>
    <w:p>
      <w:pPr>
        <w:pStyle w:val="ListBullet"/>
        <w:spacing w:line="240" w:lineRule="auto"/>
        <w:ind w:left="720"/>
      </w:pPr>
      <w:r/>
      <w:r>
        <w:t xml:space="preserve">(Pestel‑analysis / segment mix) - Paragraph 7 </w:t>
      </w:r>
      <w:r/>
    </w:p>
    <w:p>
      <w:pPr>
        <w:pStyle w:val="ListBullet"/>
        <w:spacing w:line="240" w:lineRule="auto"/>
        <w:ind w:left="720"/>
      </w:pPr>
      <w:r/>
      <w:r>
        <w:t xml:space="preserve">(Screener / ROCE &amp; ROE) - Paragraph 7 </w:t>
      </w:r>
      <w:r/>
    </w:p>
    <w:p>
      <w:pPr>
        <w:pStyle w:val="ListBullet"/>
        <w:spacing w:line="240" w:lineRule="auto"/>
        <w:ind w:left="720"/>
      </w:pPr>
      <w:r/>
      <w:r>
        <w:t xml:space="preserve">(Pestel‑analysis / strategy summary) - Paragraph 6 </w:t>
      </w:r>
      <w:r/>
    </w:p>
    <w:p>
      <w:pPr>
        <w:pStyle w:val="ListBullet"/>
        <w:spacing w:line="240" w:lineRule="auto"/>
        <w:ind w:left="720"/>
      </w:pPr>
      <w:r/>
      <w:r>
        <w:t xml:space="preserve">(tiindia.com / tubes leadership) - Paragraph 6 </w:t>
      </w:r>
      <w:r/>
    </w:p>
    <w:p>
      <w:pPr>
        <w:pStyle w:val="ListBullet"/>
        <w:spacing w:line="240" w:lineRule="auto"/>
        <w:ind w:left="720"/>
      </w:pPr>
      <w:r/>
      <w:r>
        <w:t xml:space="preserve">(Business Standard / EV products) - Paragraph 6 </w:t>
      </w:r>
      <w:r/>
    </w:p>
    <w:p>
      <w:pPr>
        <w:pStyle w:val="ListBullet"/>
        <w:spacing w:line="240" w:lineRule="auto"/>
        <w:ind w:left="720"/>
      </w:pPr>
      <w:r/>
      <w:r>
        <w:t xml:space="preserve">(Pestel‑analysis / semiconductor capex) - Paragraph 6 </w:t>
      </w:r>
      <w:r/>
    </w:p>
    <w:p>
      <w:pPr>
        <w:pStyle w:val="ListBullet"/>
        <w:spacing w:line="240" w:lineRule="auto"/>
        <w:ind w:left="720"/>
      </w:pPr>
      <w:r/>
      <w:r>
        <w:t xml:space="preserve">(tiindia.com / Axiro / Renesas deal) - Paragraph 6 </w:t>
      </w:r>
      <w:r/>
    </w:p>
    <w:p>
      <w:pPr>
        <w:pStyle w:val="ListBullet"/>
        <w:spacing w:line="240" w:lineRule="auto"/>
        <w:ind w:left="720"/>
      </w:pPr>
      <w:r/>
      <w:r>
        <w:t xml:space="preserve">(Pestel‑analysis / TI Medical) - Paragraph 6 </w:t>
      </w:r>
      <w:r/>
    </w:p>
    <w:p>
      <w:pPr>
        <w:pStyle w:val="ListBullet"/>
        <w:spacing w:line="240" w:lineRule="auto"/>
        <w:ind w:left="720"/>
      </w:pPr>
      <w:r/>
      <w:r>
        <w:t xml:space="preserve">(Trendlyne / broker aggregation) - Paragraph 8 </w:t>
      </w:r>
      <w:r/>
    </w:p>
    <w:p>
      <w:pPr>
        <w:pStyle w:val="ListBullet"/>
        <w:spacing w:line="240" w:lineRule="auto"/>
        <w:ind w:left="720"/>
      </w:pPr>
      <w:r/>
      <w:r>
        <w:t xml:space="preserve">(Trendlyne / earlier broker notes) - Paragraph 8 </w:t>
      </w:r>
      <w:r/>
    </w:p>
    <w:p>
      <w:pPr>
        <w:pStyle w:val="ListBullet"/>
        <w:spacing w:line="240" w:lineRule="auto"/>
        <w:ind w:left="720"/>
      </w:pPr>
      <w:r/>
      <w:r>
        <w:t xml:space="preserve">(ETMarkets / thematic piece) - Paragraph 8 </w:t>
      </w:r>
      <w:r/>
    </w:p>
    <w:p>
      <w:pPr>
        <w:pStyle w:val="ListBullet"/>
        <w:spacing w:line="240" w:lineRule="auto"/>
        <w:ind w:left="720"/>
      </w:pPr>
      <w:r/>
      <w:r>
        <w:t xml:space="preserve">(Screener / 1‑year return) - Paragraph 3 </w:t>
      </w:r>
      <w:r/>
    </w:p>
    <w:p>
      <w:pPr>
        <w:pStyle w:val="ListBullet"/>
        <w:spacing w:line="240" w:lineRule="auto"/>
        <w:ind w:left="720"/>
      </w:pPr>
      <w:r/>
      <w:r>
        <w:t xml:space="preserve">(Screener / net debt) - Paragraph 3, Paragraph 7 </w:t>
      </w:r>
      <w:r/>
    </w:p>
    <w:p>
      <w:pPr>
        <w:pStyle w:val="ListBullet"/>
        <w:spacing w:line="240" w:lineRule="auto"/>
        <w:ind w:left="720"/>
      </w:pPr>
      <w:r/>
      <w:r>
        <w:t xml:space="preserve">(Screener / institutional ownership) - Paragraph 3, Paragraph 9 </w:t>
      </w:r>
      <w:r/>
    </w:p>
    <w:p>
      <w:pPr>
        <w:pStyle w:val="ListBullet"/>
        <w:spacing w:line="240" w:lineRule="auto"/>
        <w:ind w:left="720"/>
      </w:pPr>
      <w:r/>
      <w:r>
        <w:t xml:space="preserve">(Pestel‑analysis / risk summary) - Paragraph 9 </w:t>
      </w:r>
      <w:r/>
    </w:p>
    <w:p>
      <w:pPr>
        <w:pStyle w:val="ListBullet"/>
        <w:spacing w:line="240" w:lineRule="auto"/>
        <w:ind w:left="720"/>
      </w:pPr>
      <w:r/>
      <w:r>
        <w:t xml:space="preserve">(Business Standard / EV execution risk) - Paragraph 9 </w:t>
      </w:r>
      <w:r/>
    </w:p>
    <w:p>
      <w:pPr>
        <w:pStyle w:val="ListBullet"/>
        <w:spacing w:line="240" w:lineRule="auto"/>
        <w:ind w:left="720"/>
      </w:pPr>
      <w:r/>
      <w:r>
        <w:t xml:space="preserve">(Screener / margin pressure) - Paragraph 4, Paragraph 9 </w:t>
      </w:r>
      <w:r/>
    </w:p>
    <w:p>
      <w:pPr>
        <w:pStyle w:val="ListBullet"/>
        <w:spacing w:line="240" w:lineRule="auto"/>
        <w:ind w:left="720"/>
      </w:pPr>
      <w:r/>
      <w:r>
        <w:t xml:space="preserve">(Pestel‑analysis / Metal Formed Products softness) - Paragraph 9 </w:t>
      </w:r>
      <w:r/>
    </w:p>
    <w:p>
      <w:pPr>
        <w:pStyle w:val="ListBullet"/>
        <w:spacing w:line="240" w:lineRule="auto"/>
        <w:ind w:left="720"/>
      </w:pPr>
      <w:r/>
      <w:r>
        <w:t xml:space="preserve">(Pestel‑analysis / bicycle competition) - Paragraph 9 </w:t>
      </w:r>
      <w:r/>
    </w:p>
    <w:p>
      <w:pPr>
        <w:pStyle w:val="ListBullet"/>
        <w:spacing w:line="240" w:lineRule="auto"/>
        <w:ind w:left="720"/>
      </w:pPr>
      <w:r/>
      <w:r>
        <w:t xml:space="preserve">(Trendlyne / valuation &amp; volatility) - Paragraph 9 </w:t>
      </w:r>
      <w:r/>
    </w:p>
    <w:p>
      <w:pPr>
        <w:pStyle w:val="ListBullet"/>
        <w:spacing w:line="240" w:lineRule="auto"/>
        <w:ind w:left="720"/>
      </w:pPr>
      <w:r/>
      <w:r>
        <w:t xml:space="preserve">(Times of India / subsidiary performance) - Paragraph 7 </w:t>
      </w:r>
      <w:r/>
    </w:p>
    <w:p>
      <w:pPr>
        <w:pStyle w:val="ListBullet"/>
        <w:spacing w:line="240" w:lineRule="auto"/>
        <w:ind w:left="720"/>
      </w:pPr>
      <w:r/>
      <w:r>
        <w:t xml:space="preserve">(Screener / valuation framing) - Paragraph 10 </w:t>
      </w:r>
      <w:r/>
    </w:p>
    <w:p>
      <w:pPr>
        <w:pStyle w:val="ListBullet"/>
        <w:spacing w:line="240" w:lineRule="auto"/>
        <w:ind w:left="720"/>
      </w:pPr>
      <w:r/>
      <w:r>
        <w:t xml:space="preserve">(MarketsMojo / trading &amp; derivatives) - Paragraph 2, Paragraph 10 </w:t>
      </w:r>
      <w:r/>
    </w:p>
    <w:p>
      <w:pPr>
        <w:pStyle w:val="ListBullet"/>
        <w:spacing w:line="240" w:lineRule="auto"/>
        <w:ind w:left="720"/>
      </w:pPr>
      <w:r/>
      <w:r>
        <w:t xml:space="preserve">(Screener / fundamentals snapshot) - Paragraph 4, Paragraph 10 </w:t>
      </w:r>
      <w:r/>
    </w:p>
    <w:p>
      <w:pPr>
        <w:pStyle w:val="ListBullet"/>
        <w:spacing w:line="240" w:lineRule="auto"/>
        <w:ind w:left="720"/>
      </w:pPr>
      <w:r/>
      <w:r>
        <w:t>(Trendlyne / broker targets)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https://ts2.tech/en/tube-investments-of-india-share-price-today-ev-bets-broker-targets-and-market-mood-on-10-december-2025/</w:t>
        </w:r>
      </w:hyperlink>
      <w:r>
        <w:t xml:space="preserve"> - Please view link - unable to able to access data</w:t>
      </w:r>
      <w:r/>
    </w:p>
    <w:p>
      <w:pPr>
        <w:pStyle w:val="ListNumber"/>
        <w:spacing w:line="240" w:lineRule="auto"/>
        <w:ind w:left="720"/>
      </w:pPr>
      <w:r/>
      <w:hyperlink r:id="rId10">
        <w:r>
          <w:rPr>
            <w:color w:val="0000EE"/>
            <w:u w:val="single"/>
          </w:rPr>
          <w:t>https://www.moneycontrol.com/news/business/stocks/tube-investments-of-india-shares-fall-1-73-amid-volume-surge-alpha-article-13561066.html</w:t>
        </w:r>
      </w:hyperlink>
      <w:r>
        <w:t xml:space="preserve"> - On September 19, 2025, Tube Investments of India Ltd's shares declined by 1.73% amid high trading volumes. The company had announced a final dividend of ₹1.50 per share (150%) with an effective date of July 25, 2025, and an interim dividend of ₹2.00 per share (200%) with an effective date of February 7, 2025. Despite the stock's decline, Moneycontrol analysis indicated a very bullish sentiment for the stock as of that date.</w:t>
      </w:r>
      <w:r/>
    </w:p>
    <w:p>
      <w:pPr>
        <w:pStyle w:val="ListNumber"/>
        <w:spacing w:line="240" w:lineRule="auto"/>
        <w:ind w:left="720"/>
      </w:pPr>
      <w:r/>
      <w:hyperlink r:id="rId16">
        <w:r>
          <w:rPr>
            <w:color w:val="0000EE"/>
            <w:u w:val="single"/>
          </w:rPr>
          <w:t>https://www.business-standard.com/markets/capital-market-news/tube-investments-of-india-consolidated-net-profit-declines-75-65-in-the-march-2025-quarter-125051501067_1.html</w:t>
        </w:r>
      </w:hyperlink>
      <w:r>
        <w:t xml:space="preserve"> - In the quarter ending March 2025, Tube Investments of India Ltd reported a 75.65% decline in consolidated net profit to ₹46.53 crore, compared to ₹191.09 crore in the same quarter of the previous year. Sales rose by 15.47% to ₹5,017.29 crore from ₹4,345.00 crore in the corresponding quarter of the previous year.</w:t>
      </w:r>
      <w:r/>
    </w:p>
    <w:p>
      <w:pPr>
        <w:pStyle w:val="ListNumber"/>
        <w:spacing w:line="240" w:lineRule="auto"/>
        <w:ind w:left="720"/>
      </w:pPr>
      <w:r/>
      <w:hyperlink r:id="rId11">
        <w:r>
          <w:rPr>
            <w:color w:val="0000EE"/>
            <w:u w:val="single"/>
          </w:rPr>
          <w:t>https://www.icicidirect.com/research/equity/rapid-results/tube-investments-of-india-ltd</w:t>
        </w:r>
      </w:hyperlink>
      <w:r>
        <w:t xml:space="preserve"> - ICICI Direct's analysis of Tube Investments of India Ltd's Q2FY26 results highlighted a consolidated revenue of ₹5,523 crore, up from ₹4,925 crore in Q2FY25. The profit before tax for the quarter was ₹459 crore, compared to ₹426 crore in the same period the previous year. The standalone revenue for Q2FY26 was ₹2,119 crore, with a profit before tax of ₹250 crore, marking an 11.5% growth from the previous year.</w:t>
      </w:r>
      <w:r/>
    </w:p>
    <w:p>
      <w:pPr>
        <w:pStyle w:val="ListNumber"/>
        <w:spacing w:line="240" w:lineRule="auto"/>
        <w:ind w:left="720"/>
      </w:pPr>
      <w:r/>
      <w:hyperlink r:id="rId13">
        <w:r>
          <w:rPr>
            <w:color w:val="0000EE"/>
            <w:u w:val="single"/>
          </w:rPr>
          <w:t>https://www.business-standard.com/markets/capital-market-news/tube-investments-of-india-ltd-eases-for-fifth-straight-session-125120800490_1.html</w:t>
        </w:r>
      </w:hyperlink>
      <w:r>
        <w:t xml:space="preserve"> - On December 8, 2025, Tube Investments of India Ltd's shares declined by 3.06% to ₹2,585, marking the fifth consecutive session of decline. Over the past year, the stock tumbled approximately 30.33%, underperforming the NIFTY index, which rose by 5.63% during the same period.</w:t>
      </w:r>
      <w:r/>
    </w:p>
    <w:p>
      <w:pPr>
        <w:pStyle w:val="ListNumber"/>
        <w:spacing w:line="240" w:lineRule="auto"/>
        <w:ind w:left="720"/>
      </w:pPr>
      <w:r/>
      <w:hyperlink r:id="rId14">
        <w:r>
          <w:rPr>
            <w:color w:val="0000EE"/>
            <w:u w:val="single"/>
          </w:rPr>
          <w:t>https://www.moneycontrol.com/news/business/stocks/tube-investments-of-india-shares-fall-2-06-stock-among-top-losers-on-nifty-midcap-150-alpha-article-13578967.html</w:t>
        </w:r>
      </w:hyperlink>
      <w:r>
        <w:t xml:space="preserve"> - On September 25, 2025, Tube Investments of India Ltd's shares fell by 2.06%, making it one of the top losers on the Nifty Midcap 150 index. The company had announced a final dividend of ₹1.50 per share (150%) with an effective date of July 25, 2025, and an interim dividend of ₹2.00 per share (200%) with an effective date of February 7, 2025.</w:t>
      </w:r>
      <w:r/>
    </w:p>
    <w:p>
      <w:pPr>
        <w:pStyle w:val="ListNumber"/>
        <w:spacing w:line="240" w:lineRule="auto"/>
        <w:ind w:left="720"/>
      </w:pPr>
      <w:r/>
      <w:hyperlink r:id="rId12">
        <w:r>
          <w:rPr>
            <w:color w:val="0000EE"/>
            <w:u w:val="single"/>
          </w:rPr>
          <w:t>https://www.livemint.com/market/market-stats/stocks-tube-investments-of-india-share-price-nse-bse-s0003805/</w:t>
        </w:r>
      </w:hyperlink>
      <w:r>
        <w:t xml:space="preserve"> - As of December 9, 2025, Tube Investments of India Ltd's shares were trading at ₹2,574.55, reflecting a 0.27% increase from the previous closing price. The stock has experienced a 28.23% decline over the past year and an 8.26% decline in the last five days. The trailing P/E ratio stands at 95.72, compared to the sector P/E of 37.45.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tube-investments-of-india-share-price-today-ev-bets-broker-targets-and-market-mood-on-10-december-2025/" TargetMode="External"/><Relationship Id="rId10" Type="http://schemas.openxmlformats.org/officeDocument/2006/relationships/hyperlink" Target="https://www.moneycontrol.com/news/business/stocks/tube-investments-of-india-shares-fall-1-73-amid-volume-surge-alpha-article-13561066.html" TargetMode="External"/><Relationship Id="rId11" Type="http://schemas.openxmlformats.org/officeDocument/2006/relationships/hyperlink" Target="https://www.icicidirect.com/research/equity/rapid-results/tube-investments-of-india-ltd" TargetMode="External"/><Relationship Id="rId12" Type="http://schemas.openxmlformats.org/officeDocument/2006/relationships/hyperlink" Target="https://www.livemint.com/market/market-stats/stocks-tube-investments-of-india-share-price-nse-bse-s0003805/" TargetMode="External"/><Relationship Id="rId13" Type="http://schemas.openxmlformats.org/officeDocument/2006/relationships/hyperlink" Target="https://www.business-standard.com/markets/capital-market-news/tube-investments-of-india-ltd-eases-for-fifth-straight-session-125120800490_1.html" TargetMode="External"/><Relationship Id="rId14" Type="http://schemas.openxmlformats.org/officeDocument/2006/relationships/hyperlink" Target="https://www.moneycontrol.com/news/business/stocks/tube-investments-of-india-shares-fall-2-06-stock-among-top-losers-on-nifty-midcap-150-alpha-article-13578967.html" TargetMode="External"/><Relationship Id="rId15" Type="http://schemas.openxmlformats.org/officeDocument/2006/relationships/hyperlink" Target="https://www.noahwire.com" TargetMode="External"/><Relationship Id="rId16" Type="http://schemas.openxmlformats.org/officeDocument/2006/relationships/hyperlink" Target="https://www.business-standard.com/markets/capital-market-news/tube-investments-of-india-consolidated-net-profit-declines-75-65-in-the-march-2025-quarter-125051501067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