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ASX’s modernised CHESS platform passes key milestone amid leadership transition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Australian Securities Exchange is back in focus after a smooth first phase of its CHESS replacement project and a leadership handover that together have sharpened debate over the company’s outlook and valuation. On 20 April 2026, ASX said the new clearing platform was ready for market open, a milestone that came after years of delay, criticism and an earlier abandoned blockchain-based approach. Market reaction was modest but positive, with ASX shares edging higher as investors weighed the significance of the upgrade against the exchange’s already elevated status in the local market. According to ASX, the system handled roughly 31,000 trades during a busy opening hour, suggesting the launch passed an important early test. </w:t>
      </w:r>
      <w:r/>
    </w:p>
    <w:p>
      <w:r/>
      <w:r>
        <w:t xml:space="preserve">The upgrade matters because CHESS sits at the heart of Australia’s equity market plumbing. The first release focuses on clearing services, while the second stage is expected to extend to settlement and sub-register functions, with completion targeted for 2029. ASX has said the initial release remains within its earlier estimate of about A$125m, a figure that matters to investors watching whether modernisation can be delivered without eroding margins. Chief executive Helen Lofthouse said the exchange needed resilient infrastructure capable of coping with higher volumes and periods of volatility, underscoring the commercial case for the project. </w:t>
      </w:r>
      <w:r/>
    </w:p>
    <w:p>
      <w:r/>
      <w:r>
        <w:t xml:space="preserve">That strategic push is unfolding alongside a planned CEO transition. ASX announced in February that Ms Lofthouse would step down in May 2026, ending an 11-year run at the exchange and leaving the board to steer the group into its next phase. The timing links the leadership change closely to the CHESS rollout, reinforcing the sense that the exchange is trying to pair operational renewal with governance continuity. Industry observers have treated that combination as important, because large market infrastructure projects can lose momentum if management changes arrive at the wrong moment. </w:t>
      </w:r>
      <w:r/>
    </w:p>
    <w:p>
      <w:r/>
      <w:r>
        <w:t xml:space="preserve">The Reserve Bank of Australia has previously flagged the current CHESS platform as a source of operational risk, pointing to issues around performance, resilience and capacity in its 2022-23 assessment. While the central bank said the system had been working reliably, it warned that vendor support, upgrades and security maintenance would remain essential, particularly as some supporting technology suppliers had not yet committed to upgrades beyond 2025. That backdrop explains why the new release is being viewed not just as a technical refresh, but as a response to a broader infrastructure risk identified by regulators. </w:t>
      </w:r>
      <w:r/>
    </w:p>
    <w:p>
      <w:r/>
      <w:r>
        <w:t xml:space="preserve">For investors, the bigger question is whether the operational progress justifies ASX’s valuation. The exchange benefits from diversified income streams, including clearing, settlement, market data and listings, which tend to provide a degree of earnings stability. But that reliability has also made the stock a premium-rated name, and recent momentum has revived debate over whether the market is already pricing in much of the benefit from CHESS and other growth initiatives. Analysts and market participants remain split between those who see a durable infrastructure franchise and those who think expectations have moved ahead of fundamentals. </w:t>
      </w:r>
      <w:r/>
    </w:p>
    <w:p>
      <w:r/>
      <w:r>
        <w:t xml:space="preserve">The near-term test will be execution. If ASX can complete the second release on schedule while keeping costs contained, it could strengthen confidence in both the technology programme and the company’s long-term earnings base. If delays, cost overruns or regulatory complications emerge, the valuation case may look less convincing. For now, the exchange has achieved an important operational milestone, but the market is still judging whether modernisation will translate into faster growth or simply preserve the status quo more efficiently.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1">
        <w:r>
          <w:rPr>
            <w:color w:val="0000EE"/>
            <w:u w:val="single"/>
          </w:rPr>
          <w:t>[3]</w:t>
        </w:r>
      </w:hyperlink>
      <w:r>
        <w:t xml:space="preserve">- Paragraph 4: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5">
        <w:r>
          <w:rPr>
            <w:color w:val="0000EE"/>
            <w:u w:val="single"/>
          </w:rPr>
          <w:t>[4]</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https://kalkinemedia.com/au/stocks/financial/asx-momentum-builds-as-chess-upgrade-reshapes-market</w:t>
        </w:r>
      </w:hyperlink>
      <w:r>
        <w:t xml:space="preserve"> - Please view link - unable to able to access data</w:t>
      </w:r>
      <w:r/>
    </w:p>
    <w:p>
      <w:pPr>
        <w:pStyle w:val="ListNumber"/>
        <w:spacing w:line="240" w:lineRule="auto"/>
        <w:ind w:left="720"/>
      </w:pPr>
      <w:r/>
      <w:hyperlink r:id="rId10">
        <w:r>
          <w:rPr>
            <w:color w:val="0000EE"/>
            <w:u w:val="single"/>
          </w:rPr>
          <w:t>https://grafa.com/en/news/australia/asx-shares-edge-higher-following-chess-upgrade</w:t>
        </w:r>
      </w:hyperlink>
      <w:r>
        <w:t xml:space="preserve"> - On April 20, 2026, the Australian Securities Exchange (ASX) launched the first phase of its CHESS replacement, marking a significant milestone in its technology modernisation efforts. Despite a volatile trading session, ASX shares edged 0.1% higher. The new post-trade clearing system, developed in partnership with Tata Consultancy Services, successfully handled approximately 31,000 trades during a busier-than-normal opening hour, confirming the system's operational readiness. This upgrade follows the cancellation of a previous blockchain-based attempt in 2022, highlighting ASX's commitment to enhancing its infrastructure.</w:t>
      </w:r>
      <w:r/>
    </w:p>
    <w:p>
      <w:pPr>
        <w:pStyle w:val="ListNumber"/>
        <w:spacing w:line="240" w:lineRule="auto"/>
        <w:ind w:left="720"/>
      </w:pPr>
      <w:r/>
      <w:hyperlink r:id="rId11">
        <w:r>
          <w:rPr>
            <w:color w:val="0000EE"/>
            <w:u w:val="single"/>
          </w:rPr>
          <w:t>https://www.capitalbrief.com/briefing/asx-releases-first-chess-upgrade-cb8447a9-9e06-4e23-84a7-61f8241f669d/</w:t>
        </w:r>
      </w:hyperlink>
      <w:r>
        <w:t xml:space="preserve"> - The Australian Securities Exchange (ASX) successfully implemented the first release of its Clearing House Electronic Subregister System (CHESS) replacement project on April 20, 2026. This upgrade aims to modernise ASX's clearing services, with Release 1 focusing on clearing services and Release 2 targeting settlement and sub-register services, expected to be completed by 2029. The project costs for CHESS Release 1 are within the previously estimated $125 million. ASX's Chief Executive, Helen Lofthouse, emphasised the importance of resilient infrastructure capable of processing increased volumes, especially during periods of market volatility.</w:t>
      </w:r>
      <w:r/>
    </w:p>
    <w:p>
      <w:pPr>
        <w:pStyle w:val="ListNumber"/>
        <w:spacing w:line="240" w:lineRule="auto"/>
        <w:ind w:left="720"/>
      </w:pPr>
      <w:r/>
      <w:hyperlink r:id="rId15">
        <w:r>
          <w:rPr>
            <w:color w:val="0000EE"/>
            <w:u w:val="single"/>
          </w:rPr>
          <w:t>https://www.rba.gov.au/payments-and-infrastructure/financial-market-infrastructure/clearing-and-settlement-facilities/assessments/2022-2023/special-topic-the-current-chess.html</w:t>
        </w:r>
      </w:hyperlink>
      <w:r>
        <w:t xml:space="preserve"> - The Reserve Bank of Australia (RBA) conducted an assessment of the ASX's Clearing House Electronic Subregister System (CHESS) in its 2022/2023 report. The assessment highlighted operational risks related to performance, resilience, and capacity. While the current CHESS has been performing reliably, the RBA emphasised the need for ongoing vendor support, including hardware and software upgrades, security patches, and bug fixes. The RBA also noted that many vendors for the current CHESS's supporting technology and infrastructure have not yet announced upgrade plans beyond 2025, posing a key risk that requires ongoing management.</w:t>
      </w:r>
      <w:r/>
    </w:p>
    <w:p>
      <w:pPr>
        <w:pStyle w:val="ListNumber"/>
        <w:spacing w:line="240" w:lineRule="auto"/>
        <w:ind w:left="720"/>
      </w:pPr>
      <w:r/>
      <w:hyperlink r:id="rId12">
        <w:r>
          <w:rPr>
            <w:color w:val="0000EE"/>
            <w:u w:val="single"/>
          </w:rPr>
          <w:t>https://changeflow.com/govping/securities-markets/asx-confirms-chess-release-1-ready-for-market-open-2026-04-20</w:t>
        </w:r>
      </w:hyperlink>
      <w:r>
        <w:t xml:space="preserve"> - On April 20, 2026, the Australian Securities Exchange (ASX) confirmed that CHESS Release 1, providing clearing services on a modernised platform, is ready for market open. All Approved Market Operators successfully connected ahead of market open following extensive testing. Project costs remain within the previously provided estimate of approximately $125 million. Work on Release 2 (settlement and sub-register services) is progressing with the industry test environment opened on March 30, 2026, targeting delivery by 2029. This marks a significant step in ASX's technology modernisation strategy.</w:t>
      </w:r>
      <w:r/>
    </w:p>
    <w:p>
      <w:pPr>
        <w:pStyle w:val="ListNumber"/>
        <w:spacing w:line="240" w:lineRule="auto"/>
        <w:ind w:left="720"/>
      </w:pPr>
      <w:r/>
      <w:hyperlink r:id="rId13">
        <w:r>
          <w:rPr>
            <w:color w:val="0000EE"/>
            <w:u w:val="single"/>
          </w:rPr>
          <w:t>https://www.tipranks.com/news/company-announcements/asx-launches-first-phase-of-modernised-chess-clearing-platform</w:t>
        </w:r>
      </w:hyperlink>
      <w:r>
        <w:t xml:space="preserve"> - The Australian Securities Exchange (ASX) has launched the first phase of its modernised CHESS clearing platform. CHESS Release 1 is now live, delivering a modern, resilient clearing platform that supports higher trading volumes. The CHESS upgrade follows a two-stage, lower-risk rollout with Release 1 costs near $125 million and Release 2 targeted by 2029. This development is part of ASX's broader strategy to modernise its infrastructure and enhance operational efficiency in response to evolving market needs.</w:t>
      </w:r>
      <w:r/>
    </w:p>
    <w:p>
      <w:pPr>
        <w:pStyle w:val="ListNumber"/>
        <w:spacing w:line="240" w:lineRule="auto"/>
        <w:ind w:left="720"/>
      </w:pPr>
      <w:r/>
      <w:hyperlink r:id="rId14">
        <w:r>
          <w:rPr>
            <w:color w:val="0000EE"/>
            <w:u w:val="single"/>
          </w:rPr>
          <w:t>https://ffnews.com/newsarticle/hiring/asx-announces-ceo-transition/</w:t>
        </w:r>
      </w:hyperlink>
      <w:r>
        <w:t xml:space="preserve"> - ASX Limited announced on February 12, 2026, that Managing Director and CEO Helen Lofthouse will step down in May 2026, following an 11-year career at ASX. Appointed CEO in 2022, the announcement of Ms Lofthouse’s planned departure comes as ASX makes final preparations to deliver the first phase of the CHESS project, targeting go-live in April 2026. The Board and Ms Lofthouse have determined it is the right time for new leadership to take the Group into its next phase of growth and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financial/asx-momentum-builds-as-chess-upgrade-reshapes-market" TargetMode="External"/><Relationship Id="rId10" Type="http://schemas.openxmlformats.org/officeDocument/2006/relationships/hyperlink" Target="https://grafa.com/en/news/australia/asx-shares-edge-higher-following-chess-upgrade" TargetMode="External"/><Relationship Id="rId11" Type="http://schemas.openxmlformats.org/officeDocument/2006/relationships/hyperlink" Target="https://www.capitalbrief.com/briefing/asx-releases-first-chess-upgrade-cb8447a9-9e06-4e23-84a7-61f8241f669d/" TargetMode="External"/><Relationship Id="rId12" Type="http://schemas.openxmlformats.org/officeDocument/2006/relationships/hyperlink" Target="https://changeflow.com/govping/securities-markets/asx-confirms-chess-release-1-ready-for-market-open-2026-04-20" TargetMode="External"/><Relationship Id="rId13" Type="http://schemas.openxmlformats.org/officeDocument/2006/relationships/hyperlink" Target="https://www.tipranks.com/news/company-announcements/asx-launches-first-phase-of-modernised-chess-clearing-platform" TargetMode="External"/><Relationship Id="rId14" Type="http://schemas.openxmlformats.org/officeDocument/2006/relationships/hyperlink" Target="https://ffnews.com/newsarticle/hiring/asx-announces-ceo-transition/" TargetMode="External"/><Relationship Id="rId15" Type="http://schemas.openxmlformats.org/officeDocument/2006/relationships/hyperlink" Target="https://www.rba.gov.au/payments-and-infrastructure/financial-market-infrastructure/clearing-and-settlement-facilities/assessments/2022-2023/special-topic-the-current-ches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