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for Healthcare Workflows: Why the Model Isn’t the Point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healthcare teams alike are shifting focus from headline-grabbing model wars to the quiet work of trust: who uses AI, how it’s wired into workflows, and whether every claim can be traced to a source , matters that decide patient safety and regulatory risk.</w:t>
      </w:r>
      <w:r/>
    </w:p>
    <w:p>
      <w:r/>
      <w:r>
        <w:t>Essential takeaways</w:t>
      </w:r>
      <w:r/>
      <w:r/>
    </w:p>
    <w:p>
      <w:pPr>
        <w:pStyle w:val="ListBullet"/>
        <w:spacing w:line="240" w:lineRule="auto"/>
        <w:ind w:left="720"/>
      </w:pPr>
      <w:r/>
      <w:r>
        <w:rPr>
          <w:b/>
        </w:rPr>
        <w:t>Models are similar:</w:t>
      </w:r>
      <w:r>
        <w:t xml:space="preserve"> Leading large language models now perform comparably for many tasks, so differences rarely drive real‑world outcomes.</w:t>
      </w:r>
      <w:r/>
    </w:p>
    <w:p>
      <w:pPr>
        <w:pStyle w:val="ListBullet"/>
        <w:spacing w:line="240" w:lineRule="auto"/>
        <w:ind w:left="720"/>
      </w:pPr>
      <w:r/>
      <w:r>
        <w:rPr>
          <w:b/>
        </w:rPr>
        <w:t>Workflow matters:</w:t>
      </w:r>
      <w:r>
        <w:t xml:space="preserve"> Structured, auditable processes reduce errors, improve review speed, and support compliance in healthcare settings.</w:t>
      </w:r>
      <w:r/>
    </w:p>
    <w:p>
      <w:pPr>
        <w:pStyle w:val="ListBullet"/>
        <w:spacing w:line="240" w:lineRule="auto"/>
        <w:ind w:left="720"/>
      </w:pPr>
      <w:r/>
      <w:r>
        <w:rPr>
          <w:b/>
        </w:rPr>
        <w:t>Source traceability:</w:t>
      </w:r>
      <w:r>
        <w:t xml:space="preserve"> Outputs tied to verifiable literature feel more trustworthy and make regulatory submissions easier.</w:t>
      </w:r>
      <w:r/>
    </w:p>
    <w:p>
      <w:pPr>
        <w:pStyle w:val="ListBullet"/>
        <w:spacing w:line="240" w:lineRule="auto"/>
        <w:ind w:left="720"/>
      </w:pPr>
      <w:r/>
      <w:r>
        <w:rPr>
          <w:b/>
        </w:rPr>
        <w:t>User behaviour counts:</w:t>
      </w:r>
      <w:r>
        <w:t xml:space="preserve"> Teams that iterate and guide AI get better results than those treating it as a one‑shot solution.</w:t>
      </w:r>
      <w:r/>
    </w:p>
    <w:p>
      <w:pPr>
        <w:pStyle w:val="ListBullet"/>
        <w:spacing w:line="240" w:lineRule="auto"/>
        <w:ind w:left="720"/>
      </w:pPr>
      <w:r/>
      <w:r>
        <w:rPr>
          <w:b/>
        </w:rPr>
        <w:t>Specialised platforms win:</w:t>
      </w:r>
      <w:r>
        <w:t xml:space="preserve"> Tools built for medical affairs and clinical workflows outperform general chat interfaces on safety and oversight.</w:t>
      </w:r>
      <w:r/>
      <w:r/>
    </w:p>
    <w:p>
      <w:pPr>
        <w:pStyle w:val="Heading2"/>
      </w:pPr>
      <w:r>
        <w:t>Headlines miss the point , outputs, not ownership, decide risk</w:t>
      </w:r>
      <w:r/>
    </w:p>
    <w:p>
      <w:r/>
      <w:r>
        <w:t>It’s tempting to treat the latest spat over model copying as the central AI story, but the sharper issue for hospitals, pharma teams and regulators is how AI is embedded into everyday work. Bloomberg reported industry efforts to curb model replication, yet practitioners increasingly say that Gemini, ChatGPT or Claude produce similar drafts; the real difference is whether those drafts are verifiable and fit into a governed process. That shift feels less theatrical and more practical , you can smell the difference between a neat‑looking draft and one you can confidently cite in a submission.</w:t>
      </w:r>
      <w:r/>
    </w:p>
    <w:p>
      <w:pPr>
        <w:pStyle w:val="Heading2"/>
      </w:pPr>
      <w:r>
        <w:t>Where trust breaks down: hallucinations, context loss and messy data</w:t>
      </w:r>
      <w:r/>
    </w:p>
    <w:p>
      <w:r/>
      <w:r>
        <w:t>AI can write polished scientific prose, but polish isn’t the same as accuracy. In life sciences, unstructured inputs, vague prompts, or unrealistic expectations push systems beyond their safe zone and produce errors that look convincing. According to vendors building for medical workflows, these aren’t purely technical failures; they’re workflow failures , missing steps that would normally catch context gaps. The fix isn’t always a new model, it’s better data handling, prompts, and human checkpoints.</w:t>
      </w:r>
      <w:r/>
    </w:p>
    <w:p>
      <w:pPr>
        <w:pStyle w:val="Heading2"/>
      </w:pPr>
      <w:r>
        <w:t>Build around the model: source‑aligned generation and audit trails</w:t>
      </w:r>
      <w:r/>
    </w:p>
    <w:p>
      <w:r/>
      <w:r>
        <w:t>Platforms designed for medical affairs are tackling the problem by making every claim traceable back to a primary source. When an AI statement links to PubMed abstracts, citations and the exact passage used, reviewers can validate rather than guess. That’s what products like MACg focus on: search, draft, cite and review inside one secured workspace. For teams, that means fewer surprise edits, clearer audit trails and less risk when a regulator asks for provenance.</w:t>
      </w:r>
      <w:r/>
    </w:p>
    <w:p>
      <w:pPr>
        <w:pStyle w:val="Heading2"/>
      </w:pPr>
      <w:r>
        <w:t>People determine outcomes: train, iterate, repeat</w:t>
      </w:r>
      <w:r/>
    </w:p>
    <w:p>
      <w:r/>
      <w:r>
        <w:t>You can have the fanciest platform, but if users treat it like a magic button, you’ll get unreliable outputs. Industry voices emphasise that teams who engage, ask clarifying questions and iterate on drafts see far better performance. Practically, that means investing time in prompt design, teaching reviewers how to interrogate sources, and setting expectations about what AI should and shouldn’t do. It’s behavioural change as much as tech adoption.</w:t>
      </w:r>
      <w:r/>
    </w:p>
    <w:p>
      <w:pPr>
        <w:pStyle w:val="Heading2"/>
      </w:pPr>
      <w:r>
        <w:t>Specialisation over generalisation: why vertical tools are winning</w:t>
      </w:r>
      <w:r/>
    </w:p>
    <w:p>
      <w:r/>
      <w:r>
        <w:t>History shows that general platform inventions eventually give rise to niche tools that solve particular pain points better. In healthcare, the specificity of workflows , clinical study write‑ups, regulatory dossiers, medical affairs slide decks , makes a strong case for specialised AI platforms. They embed validation steps, role‑based reviews and compliance features that generic chat products lack. Expect the market to split further between broad foundational models and domain systems that wrap those models with the guardrails teams actually need.</w:t>
      </w:r>
      <w:r/>
    </w:p>
    <w:p>
      <w:pPr>
        <w:pStyle w:val="Heading2"/>
      </w:pPr>
      <w:r>
        <w:t>Choosing the right setup for your team</w:t>
      </w:r>
      <w:r/>
    </w:p>
    <w:p>
      <w:r/>
      <w:r>
        <w:t>If you’re evaluating AI for clinical or medical content, prioritise platforms that offer source alignment, workflow integration and transparent outputs. Ask for demonstrations of traceability, audit logs and citation generation. Train reviewers on common AI failure modes and build a lightweight governance checklist that fits your normal review cycle. Small adjustments up front save time, credibility and sometimes safety down the line.</w:t>
      </w:r>
      <w:r/>
    </w:p>
    <w:p>
      <w:r/>
      <w:r>
        <w:t>It's a small change that can make every output safer and every workflow more reliable.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Paragraph 4: </w:t>
      </w:r>
      <w:hyperlink r:id="rId13">
        <w:r>
          <w:rPr>
            <w:color w:val="0000EE"/>
            <w:u w:val="single"/>
          </w:rPr>
          <w:t>[7]</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[4]</w:t>
        </w:r>
      </w:hyperlink>
      <w:r>
        <w:t xml:space="preserve">- Paragraph 6: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https://www.prnewswire.com/news-releases/ai-model-wars-distract-from-the-bigger-problem-trust-in-outputs-302761502.html</w:t>
        </w:r>
      </w:hyperlink>
      <w:r>
        <w:t xml:space="preserve"> - Original press release. View link for all data</w:t>
      </w:r>
      <w:r/>
    </w:p>
    <w:p>
      <w:pPr>
        <w:pStyle w:val="ListNumber"/>
        <w:spacing w:line="240" w:lineRule="auto"/>
        <w:ind w:left="720"/>
      </w:pPr>
      <w:r/>
      <w:hyperlink r:id="rId10">
        <w:r>
          <w:rPr>
            <w:color w:val="0000EE"/>
            <w:u w:val="single"/>
          </w:rPr>
          <w:t>https://www.bloomberg.com/news/articles/2026-04-06/openai-anthropic-google-unite-to-combat-model-copying-in-china</w:t>
        </w:r>
      </w:hyperlink>
      <w:r>
        <w:t xml:space="preserve"> - In April 2026, OpenAI, Anthropic, and Google collaborated to address the issue of Chinese competitors extracting results from advanced US AI models. Through the Frontier Model Forum, an industry nonprofit founded by these companies and Microsoft in 2023, they aimed to detect and prevent adversarial distillation attempts that violated their terms of service, thereby protecting intellectual property and maintaining a competitive edge in the global AI race.</w:t>
      </w:r>
      <w:r/>
    </w:p>
    <w:p>
      <w:pPr>
        <w:pStyle w:val="ListNumber"/>
        <w:spacing w:line="240" w:lineRule="auto"/>
        <w:ind w:left="720"/>
      </w:pPr>
      <w:r/>
      <w:hyperlink r:id="rId11">
        <w:r>
          <w:rPr>
            <w:color w:val="0000EE"/>
            <w:u w:val="single"/>
          </w:rPr>
          <w:t>https://aingens.com/macg</w:t>
        </w:r>
      </w:hyperlink>
      <w:r>
        <w:t xml:space="preserve"> - AINGENS offers MACg, an AI-powered platform designed to assist life sciences organizations in creating, reviewing, and managing scientific content within governed workflows. MACg integrates features such as AI responses grounded in verified inputs, workflow integration for literature search and content refinement, and transparent outputs with traceable sources, all aimed at enhancing the reliability and efficiency of scientific content creation.</w:t>
      </w:r>
      <w:r/>
    </w:p>
    <w:p>
      <w:pPr>
        <w:pStyle w:val="ListNumber"/>
        <w:spacing w:line="240" w:lineRule="auto"/>
        <w:ind w:left="720"/>
      </w:pPr>
      <w:r/>
      <w:hyperlink r:id="rId15">
        <w:r>
          <w:rPr>
            <w:color w:val="0000EE"/>
            <w:u w:val="single"/>
          </w:rPr>
          <w:t>https://aingens.com/</w:t>
        </w:r>
      </w:hyperlink>
      <w:r>
        <w:t xml:space="preserve"> - AINGENS is a life sciences software company focused on transforming how scientific and medical content is created in regulated healthcare environments. Founded by Ome Ogbru, PharmD, the company combines deep life sciences expertise with advanced technologies to build integrated AI-powered platforms that streamline various steps in scientific, clinical, and medical workflows, thereby improving productivity and compliance.</w:t>
      </w:r>
      <w:r/>
    </w:p>
    <w:p>
      <w:pPr>
        <w:pStyle w:val="ListNumber"/>
        <w:spacing w:line="240" w:lineRule="auto"/>
        <w:ind w:left="720"/>
      </w:pPr>
      <w:r/>
      <w:hyperlink r:id="rId14">
        <w:r>
          <w:rPr>
            <w:color w:val="0000EE"/>
            <w:u w:val="single"/>
          </w:rPr>
          <w:t>https://aingens.com/about-us</w:t>
        </w:r>
      </w:hyperlink>
      <w:r>
        <w:t xml:space="preserve"> - AINGENS leverages decades of healthcare and biotech experience from its founder and subject matter experts to develop integrated evidence-first AI solutions. The company emphasizes unmatched expertise, world-class technology, and enterprise-level security and privacy, ensuring that user data remains private and content is safeguarded without being utilized for training AI models.</w:t>
      </w:r>
      <w:r/>
    </w:p>
    <w:p>
      <w:pPr>
        <w:pStyle w:val="ListNumber"/>
        <w:spacing w:line="240" w:lineRule="auto"/>
        <w:ind w:left="720"/>
      </w:pPr>
      <w:r/>
      <w:hyperlink r:id="rId12">
        <w:r>
          <w:rPr>
            <w:color w:val="0000EE"/>
            <w:u w:val="single"/>
          </w:rPr>
          <w:t>https://aingens.com/macg/macg-how-it-works</w:t>
        </w:r>
      </w:hyperlink>
      <w:r>
        <w:t xml:space="preserve"> - MACg is an AI-powered, life-sciences-specific writing and research platform that assists users in searching literature, organizing sources, generating drafts, managing citations, building presentations, and exporting publication-ready outputs. Powered by advanced large language models and combined with domain-specific tools, MACg maintains end-to-end traceability from search to export, purpose-built for medical writing across life sciences.</w:t>
      </w:r>
      <w:r/>
    </w:p>
    <w:p>
      <w:pPr>
        <w:pStyle w:val="ListNumber"/>
        <w:spacing w:line="240" w:lineRule="auto"/>
        <w:ind w:left="720"/>
      </w:pPr>
      <w:r/>
      <w:hyperlink r:id="rId13">
        <w:r>
          <w:rPr>
            <w:color w:val="0000EE"/>
            <w:u w:val="single"/>
          </w:rPr>
          <w:t>https://aingens.com/resources-and-news/aingens-launches-the-medical-affairs-content-generator-ma-cg-ai-powered-medical-writing-research-and-reference-management-assistant-for-life-sciences</w:t>
        </w:r>
      </w:hyperlink>
      <w:r>
        <w:t xml:space="preserve"> - In January 2025, AINGENS launched the Medical Affairs Content Generator (MACg), a multimodal, AI-powered medical writing and research assistant designed to transform scientific content creation workflows. Built on OpenAI’s GPT 4.0, MACg provides AI writing assistance, PubMed search, editing, reference management, and citation support tools, making scientific content creation easier, faster, and cost-effective for professionals and companies in biotech, pharmaceuticals, research, academic institutions, and clinical practice.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ai-model-wars-distract-from-the-bigger-problem-trust-in-outputs-302761502.html" TargetMode="External"/><Relationship Id="rId10" Type="http://schemas.openxmlformats.org/officeDocument/2006/relationships/hyperlink" Target="https://www.bloomberg.com/news/articles/2026-04-06/openai-anthropic-google-unite-to-combat-model-copying-in-china" TargetMode="External"/><Relationship Id="rId11" Type="http://schemas.openxmlformats.org/officeDocument/2006/relationships/hyperlink" Target="https://aingens.com/macg" TargetMode="External"/><Relationship Id="rId12" Type="http://schemas.openxmlformats.org/officeDocument/2006/relationships/hyperlink" Target="https://aingens.com/macg/macg-how-it-works" TargetMode="External"/><Relationship Id="rId13" Type="http://schemas.openxmlformats.org/officeDocument/2006/relationships/hyperlink" Target="https://aingens.com/resources-and-news/aingens-launches-the-medical-affairs-content-generator-ma-cg-ai-powered-medical-writing-research-and-reference-management-assistant-for-life-sciences" TargetMode="External"/><Relationship Id="rId14" Type="http://schemas.openxmlformats.org/officeDocument/2006/relationships/hyperlink" Target="https://aingens.com/about-us" TargetMode="External"/><Relationship Id="rId15" Type="http://schemas.openxmlformats.org/officeDocument/2006/relationships/hyperlink" Target="https://aingen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