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Digital Archive for Black-Box Science Funding Revealed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how a new digital archive makes state funding decisions in genomics visible, who benefited, and why early-stage public support still matters to innovation. Northwestern researchers opened government records to AI to map decades of NHGRI choices and their ripple effects.</w:t>
      </w:r>
      <w:r/>
    </w:p>
    <w:p>
      <w:r/>
      <w:r>
        <w:t>Essential Takeaways</w:t>
      </w:r>
      <w:r/>
      <w:r/>
    </w:p>
    <w:p>
      <w:pPr>
        <w:pStyle w:val="ListBullet"/>
        <w:spacing w:line="240" w:lineRule="auto"/>
        <w:ind w:left="720"/>
      </w:pPr>
      <w:r/>
      <w:r>
        <w:rPr>
          <w:b/>
        </w:rPr>
        <w:t>Archive scope:</w:t>
      </w:r>
      <w:r>
        <w:t xml:space="preserve"> A searchable digital collection captures NHGRI records that shaped genomics across model organisms, human variation and genetic epidemiology, revealing meeting notes, proposals and decisions.</w:t>
      </w:r>
      <w:r/>
    </w:p>
    <w:p>
      <w:pPr>
        <w:pStyle w:val="ListBullet"/>
        <w:spacing w:line="240" w:lineRule="auto"/>
        <w:ind w:left="720"/>
      </w:pPr>
      <w:r/>
      <w:r>
        <w:rPr>
          <w:b/>
        </w:rPr>
        <w:t>Why it matters:</w:t>
      </w:r>
      <w:r>
        <w:t xml:space="preserve"> The archive shows how early-stage public funding helped technologies such as genome‑wide association studies develop long before they hit headlines.</w:t>
      </w:r>
      <w:r/>
    </w:p>
    <w:p>
      <w:pPr>
        <w:pStyle w:val="ListBullet"/>
        <w:spacing w:line="240" w:lineRule="auto"/>
        <w:ind w:left="720"/>
      </w:pPr>
      <w:r/>
      <w:r>
        <w:rPr>
          <w:b/>
        </w:rPr>
        <w:t>Method:</w:t>
      </w:r>
      <w:r>
        <w:t xml:space="preserve"> Researchers used a legal and computational framework so internal government documents could be analysed by AI and scholars, making previously opaque processes examinable.</w:t>
      </w:r>
      <w:r/>
    </w:p>
    <w:p>
      <w:pPr>
        <w:pStyle w:val="ListBullet"/>
        <w:spacing w:line="240" w:lineRule="auto"/>
        <w:ind w:left="720"/>
      </w:pPr>
      <w:r/>
      <w:r>
        <w:rPr>
          <w:b/>
        </w:rPr>
        <w:t>Tone and texture:</w:t>
      </w:r>
      <w:r>
        <w:t xml:space="preserve"> Records feel archival and human , minutes, letters and memos show deliberation, trade-offs and a surprising amount of foresight.</w:t>
      </w:r>
      <w:r/>
    </w:p>
    <w:p>
      <w:pPr>
        <w:pStyle w:val="ListBullet"/>
        <w:spacing w:line="240" w:lineRule="auto"/>
        <w:ind w:left="720"/>
      </w:pPr>
      <w:r/>
      <w:r>
        <w:rPr>
          <w:b/>
        </w:rPr>
        <w:t>Practical edge:</w:t>
      </w:r>
      <w:r>
        <w:t xml:space="preserve"> The work offers a blueprint for how other agencies might open records to improve research policy, planning and public accountability.</w:t>
      </w:r>
      <w:r/>
      <w:r/>
    </w:p>
    <w:p>
      <w:pPr>
        <w:pStyle w:val="Heading2"/>
      </w:pPr>
      <w:r>
        <w:t>A clear window into a long-closed process</w:t>
      </w:r>
      <w:r/>
    </w:p>
    <w:p>
      <w:r/>
      <w:r>
        <w:t>The strongest takeaway is simple: funding decisions that once lived in filing cabinets and private meetings now leave a traceable trail, and that changes how we understand scientific progress. The archive compiled by Northwestern researchers focuses on the National Human Genome Research Institute, the body that stood for the US in the Human Genome Project and has since steered genomic science. The material reads like an institutional biography, full of technical debates, strategic gambles and the quiet work of choosing what gets money and what doesn’t.</w:t>
      </w:r>
      <w:r/>
    </w:p>
    <w:p>
      <w:r/>
      <w:r>
        <w:t>This matters because those quiet choices shape what science looks like a decade later. According to the Nature Communications paper, the archive uncovers how NHGRI officials and external scientists negotiated priorities , sometimes pushing for resources to build technologies that were years from payoff. For the public, that’s a powerful reminder: taxpayer funding often funds the patient work that underpins big breakthroughs.</w:t>
      </w:r>
      <w:r/>
    </w:p>
    <w:p>
      <w:pPr>
        <w:pStyle w:val="Heading2"/>
      </w:pPr>
      <w:r>
        <w:t>How the archive was built and why AI was invited in</w:t>
      </w:r>
      <w:r/>
    </w:p>
    <w:p>
      <w:r/>
      <w:r>
        <w:t>Building a usable, searchable dataset out of government archives is legal and technical heavy lifting, and the team treated both seriously. They developed a custom legal-computational framework that made internal documents accessible to academic scrutiny and to AI tools that can detect patterns across thousands of pages. The result is not just a file repository but a research platform.</w:t>
      </w:r>
      <w:r/>
    </w:p>
    <w:p>
      <w:r/>
      <w:r>
        <w:t>Christopher Donohue and co-authors stress the ethical side: opening records to AI must be done responsibly. The approach blends historians’ methods with machine learning to reveal themes , who advocated for what, how controversies were resolved, and where foresight paid off. For policy wonks and historians, this is a neat model; for funders, it’s a tool to evaluate impact beyond publications and patents.</w:t>
      </w:r>
      <w:r/>
    </w:p>
    <w:p>
      <w:pPr>
        <w:pStyle w:val="Heading2"/>
      </w:pPr>
      <w:r>
        <w:t>What the archive shows about early-stage support</w:t>
      </w:r>
      <w:r/>
    </w:p>
    <w:p>
      <w:r/>
      <w:r>
        <w:t>One persistent theme is the outsized role of early-stage funding. The documents show repeated instances where NHGRI backed nascent methods and shared resources long before they were widely adopted. Genome‑wide association studies, for instance, did not spring fully formed from the literature; they evolved through sustained investment in tools, cohorts and data infrastructure.</w:t>
      </w:r>
      <w:r/>
    </w:p>
    <w:p>
      <w:r/>
      <w:r>
        <w:t>That pattern matters for anyone deciding research priorities today. If you fund only projects that promise quick publications, you risk starving the infrastructure that enables later breakthroughs. The archive offers concrete examples where patience and seed funding produced enduring benefits, a point Spencer Hong highlights with a bit of institutional pride and a lot of common sense.</w:t>
      </w:r>
      <w:r/>
    </w:p>
    <w:p>
      <w:pPr>
        <w:pStyle w:val="Heading2"/>
      </w:pPr>
      <w:r>
        <w:t>What this means for transparency and the wider research ecosystem</w:t>
      </w:r>
      <w:r/>
    </w:p>
    <w:p>
      <w:r/>
      <w:r>
        <w:t>Opening archive material changes incentives. Researchers can now trace how particular ideas won support, which may help early-career scientists craft fundable proposals. Policy-makers get evidence about what kinds of investments yield long-term returns. And the public can see the chain of decisions that turned a field into an industry.</w:t>
      </w:r>
      <w:r/>
    </w:p>
    <w:p>
      <w:r/>
      <w:r>
        <w:t>Institutions beyond genomics could learn from this. Reuters-style accountability and historians’ context together create a more usable record for everyone. The archive isn’t a magic wand , some deliberations will always be messy , but it reduces guesswork and offers a calmer, evidence-based view of scientific stewardship.</w:t>
      </w:r>
      <w:r/>
    </w:p>
    <w:p>
      <w:pPr>
        <w:pStyle w:val="Heading2"/>
      </w:pPr>
      <w:r>
        <w:t>Practical tips for researchers and funders</w:t>
      </w:r>
      <w:r/>
    </w:p>
    <w:p>
      <w:r/>
      <w:r>
        <w:t>If you’re a researcher, read the record as a lesson in framing and timing: document community needs, propose shared resources, and show long-term vision. For funders, the archive suggests you should protect small, risky bets that create platforms rather than just endpoints. And for universities and the public, press for similar transparency , it helps everyone make smarter choices about where to invest attention and tax dollars.</w:t>
      </w:r>
      <w:r/>
    </w:p>
    <w:p>
      <w:r/>
      <w:r>
        <w:t>It's a small change with big implications: opening the past can help fund the future more wisely.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https://medicalxpress.com/news/2026-05-digital-archive-funding-black-genomics.html</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https://www.nature.com/articles/s41467-026-71700-9</w:t>
        </w:r>
      </w:hyperlink>
      <w:r>
        <w:t xml:space="preserve"> - A study published in Nature Communications presents a digital archive developed by the National Human Genome Research Institute (NHGRI). This archive documents the development of genomics, including model organism sequencing, human variation research, and genetic epidemiology. The study highlights how NHGRI cooperated with the scientific community to support genomics research, leading to impactful technologies like genome-wide association studies. The authors emphasize the importance of state-funded research agencies in supporting early-stage scientific fields and emerging technologies.</w:t>
      </w:r>
      <w:r/>
    </w:p>
    <w:p>
      <w:pPr>
        <w:pStyle w:val="ListNumber"/>
        <w:spacing w:line="240" w:lineRule="auto"/>
        <w:ind w:left="720"/>
      </w:pPr>
      <w:r/>
      <w:hyperlink r:id="rId14">
        <w:r>
          <w:rPr>
            <w:color w:val="0000EE"/>
            <w:u w:val="single"/>
          </w:rPr>
          <w:t>https://grants.nih.gov/funding/find-a-fit-for-your-research/nih-institutes-centers-offices/NHGRI</w:t>
        </w:r>
      </w:hyperlink>
      <w:r>
        <w:t xml:space="preserve"> - The National Human Genome Research Institute (NHGRI) is a leading authority in genomics, aiming to accelerate scientific and medical breakthroughs that improve human health. NHGRI funds grants that develop generalizable and broadly applicable resources, approaches, and technologies to support studies focused on the structure and biology of genomes, identify genomic underpinnings of human health and disease, and ensure responsible application of genomics to improve patient care and benefit society.</w:t>
      </w:r>
      <w:r/>
    </w:p>
    <w:p>
      <w:pPr>
        <w:pStyle w:val="ListNumber"/>
        <w:spacing w:line="240" w:lineRule="auto"/>
        <w:ind w:left="720"/>
      </w:pPr>
      <w:r/>
      <w:hyperlink r:id="rId12">
        <w:r>
          <w:rPr>
            <w:color w:val="0000EE"/>
            <w:u w:val="single"/>
          </w:rPr>
          <w:t>https://www.genome.gov/</w:t>
        </w:r>
      </w:hyperlink>
      <w:r>
        <w:t xml:space="preserve"> - The National Human Genome Research Institute (NHGRI) focuses on advances in genomics research. Building on its leadership role in the initial sequencing of the human genome, NHGRI collaborates with the world's scientific and medical communities to enhance genomic technologies that accelerate breakthroughs and improve lives. The institute's mission includes driving cutting-edge research, developing new technologies, and studying the impact of genomics on society.</w:t>
      </w:r>
      <w:r/>
    </w:p>
    <w:p>
      <w:pPr>
        <w:pStyle w:val="ListNumber"/>
        <w:spacing w:line="240" w:lineRule="auto"/>
        <w:ind w:left="720"/>
      </w:pPr>
      <w:r/>
      <w:hyperlink r:id="rId11">
        <w:r>
          <w:rPr>
            <w:color w:val="0000EE"/>
            <w:u w:val="single"/>
          </w:rPr>
          <w:t>https://www.nih.gov/about-nih/what-we-do/nih-almanac/national-human-genome-research-institute-nhgri</w:t>
        </w:r>
      </w:hyperlink>
      <w:r>
        <w:t xml:space="preserve"> - Established in 1989 as the National Center for Human Genome Research, the National Human Genome Research Institute (NHGRI) is part of the National Institutes of Health (NIH). NHGRI led the International Human Genome Project, which successfully sequenced the 3 billion DNA letters that make up the human genetic instruction book. Since the completion of the Human Genome Project, NHGRI has funded and conducted research to uncover the role that the genome plays in human health and disease.</w:t>
      </w:r>
      <w:r/>
    </w:p>
    <w:p>
      <w:pPr>
        <w:pStyle w:val="ListNumber"/>
        <w:spacing w:line="240" w:lineRule="auto"/>
        <w:ind w:left="720"/>
      </w:pPr>
      <w:r/>
      <w:hyperlink r:id="rId13">
        <w:r>
          <w:rPr>
            <w:color w:val="0000EE"/>
            <w:u w:val="single"/>
          </w:rPr>
          <w:t>https://fnih.org/our-programs/genomeresearch-fund/</w:t>
        </w:r>
      </w:hyperlink>
      <w:r>
        <w:t xml:space="preserve"> - The Genome Research Fund, established in January 2013, supports genetics and genomics research at the National Human Genome Research Institute (NHGRI). The Foundation for the National Institutes of Health (FNIH) works closely with NHGRI to determine how this growing pool of funds might best be applied to fellowships, project seed funding, educational projects designed for students, the public, and health professionals, or other novel initiatives and programs to advance the mission of NHGRI.</w:t>
      </w:r>
      <w:r/>
    </w:p>
    <w:p>
      <w:pPr>
        <w:pStyle w:val="ListNumber"/>
        <w:spacing w:line="240" w:lineRule="auto"/>
        <w:ind w:left="720"/>
      </w:pPr>
      <w:r/>
      <w:hyperlink r:id="rId15">
        <w:r>
          <w:rPr>
            <w:color w:val="0000EE"/>
            <w:u w:val="single"/>
          </w:rPr>
          <w:t>https://irp.nih.gov/about-us/our-programs/nhgri</w:t>
        </w:r>
      </w:hyperlink>
      <w:r>
        <w:t xml:space="preserve"> - The National Human Genome Research Institute (NHGRI) Division of Intramural Research plans and conducts a broad program of laboratory and clinical research to translate genomic and genetic research into a greater understanding of human genetic disease and to develop better methods for the detection, prevention, and treatment of heritable and genetic disorders. Founded in 1993, NHGRI’s intramural research program carries out basic genomic research involving cell and animal model systems, as well as clinical research involving human subjects, such as gene therapy trials and the Undiagnosed Diseases Program.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xpress.com/news/2026-05-digital-archive-funding-black-genomics.html" TargetMode="External"/><Relationship Id="rId10" Type="http://schemas.openxmlformats.org/officeDocument/2006/relationships/hyperlink" Target="https://www.nature.com/articles/s41467-026-71700-9" TargetMode="External"/><Relationship Id="rId11" Type="http://schemas.openxmlformats.org/officeDocument/2006/relationships/hyperlink" Target="https://www.nih.gov/about-nih/what-we-do/nih-almanac/national-human-genome-research-institute-nhgri" TargetMode="External"/><Relationship Id="rId12" Type="http://schemas.openxmlformats.org/officeDocument/2006/relationships/hyperlink" Target="https://www.genome.gov/" TargetMode="External"/><Relationship Id="rId13" Type="http://schemas.openxmlformats.org/officeDocument/2006/relationships/hyperlink" Target="https://fnih.org/our-programs/genomeresearch-fund/" TargetMode="External"/><Relationship Id="rId14" Type="http://schemas.openxmlformats.org/officeDocument/2006/relationships/hyperlink" Target="https://grants.nih.gov/funding/find-a-fit-for-your-research/nih-institutes-centers-offices/NHGRI" TargetMode="External"/><Relationship Id="rId15" Type="http://schemas.openxmlformats.org/officeDocument/2006/relationships/hyperlink" Target="https://irp.nih.gov/about-us/our-programs/nhg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