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Laser Capture Microdissection Systems for Precise Cell Isolation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in labs and research centres are turning to laser capture microdissection for cleaner, targeted cell isolation; this roundup explains why the market is expanding, which systems and consumables matter, and how to pick the right setup for genomics, oncology or multi‑omics work.</w:t>
      </w:r>
      <w:r/>
    </w:p>
    <w:p>
      <w:r/>
      <w:r>
        <w:t>Essential Takeaways</w:t>
      </w:r>
      <w:r/>
      <w:r/>
    </w:p>
    <w:p>
      <w:pPr>
        <w:pStyle w:val="ListBullet"/>
        <w:spacing w:line="240" w:lineRule="auto"/>
        <w:ind w:left="720"/>
      </w:pPr>
      <w:r/>
      <w:r>
        <w:rPr>
          <w:b/>
        </w:rPr>
        <w:t>Market growth:</w:t>
      </w:r>
      <w:r>
        <w:t xml:space="preserve"> Laser capture microdissection is expanding rapidly, with steady revenue growth driven by spatial biology and personalised medicine needs. </w:t>
      </w:r>
      <w:r/>
    </w:p>
    <w:p>
      <w:pPr>
        <w:pStyle w:val="ListBullet"/>
        <w:spacing w:line="240" w:lineRule="auto"/>
        <w:ind w:left="720"/>
      </w:pPr>
      <w:r/>
      <w:r>
        <w:rPr>
          <w:b/>
        </w:rPr>
        <w:t>System types:</w:t>
      </w:r>
      <w:r>
        <w:t xml:space="preserve"> Ultraviolet and infrared LCM, plus immunofluorescence‑guided and pressure‑catapulting systems, each offer trade‑offs in gentleness and precision. </w:t>
      </w:r>
      <w:r/>
    </w:p>
    <w:p>
      <w:pPr>
        <w:pStyle w:val="ListBullet"/>
        <w:spacing w:line="240" w:lineRule="auto"/>
        <w:ind w:left="720"/>
      </w:pPr>
      <w:r/>
      <w:r>
        <w:rPr>
          <w:b/>
        </w:rPr>
        <w:t>Consumables matter:</w:t>
      </w:r>
      <w:r>
        <w:t xml:space="preserve"> Capture films and reagents are recurring costs but crucial for reproducible results; infrared systems can better preserve DNA/proteins. </w:t>
      </w:r>
      <w:r/>
    </w:p>
    <w:p>
      <w:pPr>
        <w:pStyle w:val="ListBullet"/>
        <w:spacing w:line="240" w:lineRule="auto"/>
        <w:ind w:left="720"/>
      </w:pPr>
      <w:r/>
      <w:r>
        <w:rPr>
          <w:b/>
        </w:rPr>
        <w:t>AI and software:</w:t>
      </w:r>
      <w:r>
        <w:t xml:space="preserve"> Automation and AI image‑analysis are increasingly bundled to speed target selection and reduce manual bias. </w:t>
      </w:r>
      <w:r/>
    </w:p>
    <w:p>
      <w:pPr>
        <w:pStyle w:val="ListBullet"/>
        <w:spacing w:line="240" w:lineRule="auto"/>
        <w:ind w:left="720"/>
      </w:pPr>
      <w:r/>
      <w:r>
        <w:rPr>
          <w:b/>
        </w:rPr>
        <w:t>End users:</w:t>
      </w:r>
      <w:r>
        <w:t xml:space="preserve"> Academic labs, hospitals, pharma and forensics are the primary buyers , choose for throughput and downstream workflows, not just headline specs.</w:t>
      </w:r>
      <w:r/>
      <w:r/>
    </w:p>
    <w:p>
      <w:pPr>
        <w:pStyle w:val="Heading2"/>
      </w:pPr>
      <w:r>
        <w:t>Why laser capture microdissection is suddenly everywhere</w:t>
      </w:r>
      <w:r/>
    </w:p>
    <w:p>
      <w:r/>
      <w:r>
        <w:t>Spatial biology has put a spotlight on context: knowing which cell sat next to which matters as much as the genome inside it. Researchers told industry outlets that being able to pluck individual cells from tissue and keep their molecular cargo intact is transforming genomics and proteomics workflows. The result is practical , clearer signal in biomarker studies and fewer mixed‑cell artefacts in single‑cell analyses , and emotional: scientists feel they’re finally seeing tissues in the way biology intended.</w:t>
      </w:r>
      <w:r/>
    </w:p>
    <w:p>
      <w:r/>
      <w:r>
        <w:t>Grand View Research and other market analysts note this shift is a major driver for market growth, as labs adopt LCM to support multi‑omics projects and precision oncology.</w:t>
      </w:r>
      <w:r/>
    </w:p>
    <w:p>
      <w:pPr>
        <w:pStyle w:val="Heading2"/>
      </w:pPr>
      <w:r>
        <w:t>Picking a system: ultraviolet versus infrared (and the in‑between)</w:t>
      </w:r>
      <w:r/>
    </w:p>
    <w:p>
      <w:r/>
      <w:r>
        <w:t>Not all LCM systems are created equal. Ultraviolet systems cut with high spatial precision, which is great for tiny targets, but they can be harsher on nucleic acids. Infrared systems use gentler capture films and are often preferred when DNA or proteins must remain intact. Immunofluorescence‑guided LCM helps if you’re hunting cells defined by markers rather than shape, while laser microdissection pressure‑catapulting is handy when you need sterile, contact‑free transfer.</w:t>
      </w:r>
      <w:r/>
    </w:p>
    <w:p>
      <w:r/>
      <w:r>
        <w:t>Think about what you’ll analyse downstream. For sequencing, lean towards systems that preserve nucleic acid integrity. For proteomics or histology‑anchored work, prioritise gentle handling and compatibility with your staining protocols.</w:t>
      </w:r>
      <w:r/>
    </w:p>
    <w:p>
      <w:pPr>
        <w:pStyle w:val="Heading2"/>
      </w:pPr>
      <w:r>
        <w:t>Consumables and software: the ongoing costs and the productivity lift</w:t>
      </w:r>
      <w:r/>
    </w:p>
    <w:p>
      <w:r/>
      <w:r>
        <w:t>Consumables , capture films, special slides, reagents , are the unseen subscription that keeps LCM labs running. Analysts flag these items as reliable revenue for vendors and real budget items for labs. Plan yearly consumable budgets around your planned throughput, and factor in validation runs for new sample types.</w:t>
      </w:r>
      <w:r/>
    </w:p>
    <w:p>
      <w:r/>
      <w:r>
        <w:t>Meanwhile, software is closing the usability gap. AI‑assisted workflows that pre‑identify target cells and suggest cut paths can shave hours off prep time and reduce operator variability. If you’re scaling up, invest in vendor software or third‑party image‑analysis packages that integrate with your LIMS.</w:t>
      </w:r>
      <w:r/>
    </w:p>
    <w:p>
      <w:pPr>
        <w:pStyle w:val="Heading2"/>
      </w:pPr>
      <w:r>
        <w:t>Who’s buying and why it matters for your choice</w:t>
      </w:r>
      <w:r/>
    </w:p>
    <w:p>
      <w:r/>
      <w:r>
        <w:t>The buyer mix is broad: universities and government institutes deploy LCM for basic science, hospitals use it for diagnostic research, and pharma and CROs adopt it for biomarker discovery and drug development. For clinical or regulated settings, certification, service contracts and traceability are as important as optical specs. For discovery labs, flexibility and compatibility with multiple downstream assays will be the deciding factors.</w:t>
      </w:r>
      <w:r/>
    </w:p>
    <w:p>
      <w:r/>
      <w:r>
        <w:t>If you’re in a core facility, choose a mid‑range system with broad chemistry support; if you’re a focused oncology lab, a specialist immunofluorescence‑guided platform may deliver more immediate value.</w:t>
      </w:r>
      <w:r/>
    </w:p>
    <w:p>
      <w:pPr>
        <w:pStyle w:val="Heading2"/>
      </w:pPr>
      <w:r>
        <w:t>Brands, competition and the innovation curve</w:t>
      </w:r>
      <w:r/>
    </w:p>
    <w:p>
      <w:r/>
      <w:r>
        <w:t>The market features a mix of established instrument makers and specialist vendors. Big names are enhancing precision and usability, while niche companies push innovations in gentler capture methods and integration with spatial omics pipelines. Market reports show competition is healthy, which keeps prices competitive and accelerates new feature roll‑outs like AI guidance and improved capture consumables.</w:t>
      </w:r>
      <w:r/>
    </w:p>
    <w:p>
      <w:r/>
      <w:r>
        <w:t>For buyers, that competition means you can negotiate service and consumable packages, and you aren’t locked into a single approach as your research evolves.</w:t>
      </w:r>
      <w:r/>
    </w:p>
    <w:p>
      <w:pPr>
        <w:pStyle w:val="Heading2"/>
      </w:pPr>
      <w:r>
        <w:t>Choosing what’s right for your lab , a quick checklist</w:t>
      </w:r>
      <w:r/>
      <w:r/>
    </w:p>
    <w:p>
      <w:pPr>
        <w:pStyle w:val="ListBullet"/>
        <w:spacing w:line="240" w:lineRule="auto"/>
        <w:ind w:left="720"/>
      </w:pPr>
      <w:r/>
      <w:r>
        <w:t xml:space="preserve">Define your downstream assays first: sequencing, proteomics, histology. </w:t>
      </w:r>
      <w:r/>
    </w:p>
    <w:p>
      <w:pPr>
        <w:pStyle w:val="ListBullet"/>
        <w:spacing w:line="240" w:lineRule="auto"/>
        <w:ind w:left="720"/>
      </w:pPr>
      <w:r/>
      <w:r>
        <w:t xml:space="preserve">Match system type to sample sensitivity: infrared for gentleness, UV for micrometre precision. </w:t>
      </w:r>
      <w:r/>
    </w:p>
    <w:p>
      <w:pPr>
        <w:pStyle w:val="ListBullet"/>
        <w:spacing w:line="240" w:lineRule="auto"/>
        <w:ind w:left="720"/>
      </w:pPr>
      <w:r/>
      <w:r>
        <w:t xml:space="preserve">Budget for consumables and software maintenance, not just the instrument cost. </w:t>
      </w:r>
      <w:r/>
    </w:p>
    <w:p>
      <w:pPr>
        <w:pStyle w:val="ListBullet"/>
        <w:spacing w:line="240" w:lineRule="auto"/>
        <w:ind w:left="720"/>
      </w:pPr>
      <w:r/>
      <w:r>
        <w:t xml:space="preserve">Check vendor service, training and regulatory support if you’re in a clinical setting. </w:t>
      </w:r>
      <w:r/>
    </w:p>
    <w:p>
      <w:pPr>
        <w:pStyle w:val="ListBullet"/>
        <w:spacing w:line="240" w:lineRule="auto"/>
        <w:ind w:left="720"/>
      </w:pPr>
      <w:r/>
      <w:r>
        <w:t>Trial with your actual samples where possible; validation beats brochure specs every time.</w:t>
      </w:r>
      <w:r/>
      <w:r/>
    </w:p>
    <w:p>
      <w:r/>
      <w:r>
        <w:t>It's a small change that can make every dissection safer and every downstream result clearer.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0">
        <w:r>
          <w:rPr>
            <w:color w:val="0000EE"/>
            <w:u w:val="single"/>
          </w:rPr>
          <w:t>[2]</w:t>
        </w:r>
      </w:hyperlink>
      <w:r>
        <w:t xml:space="preserve">, </w:t>
      </w:r>
      <w:hyperlink r:id="rId14">
        <w:r>
          <w:rPr>
            <w:color w:val="0000EE"/>
            <w:u w:val="single"/>
          </w:rPr>
          <w:t>[5]</w:t>
        </w:r>
      </w:hyperlink>
      <w:r>
        <w:t xml:space="preserve">- Paragraph 4: </w:t>
      </w:r>
      <w:hyperlink r:id="rId12">
        <w:r>
          <w:rPr>
            <w:color w:val="0000EE"/>
            <w:u w:val="single"/>
          </w:rPr>
          <w:t>[3]</w:t>
        </w:r>
      </w:hyperlink>
      <w:r>
        <w:t xml:space="preserve">, </w:t>
      </w:r>
      <w:hyperlink r:id="rId15">
        <w:r>
          <w:rPr>
            <w:color w:val="0000EE"/>
            <w:u w:val="single"/>
          </w:rPr>
          <w:t>[7]</w:t>
        </w:r>
      </w:hyperlink>
      <w:r>
        <w:t xml:space="preserve">- Paragraph 5: </w:t>
      </w:r>
      <w:hyperlink r:id="rId11">
        <w:r>
          <w:rPr>
            <w:color w:val="0000EE"/>
            <w:u w:val="single"/>
          </w:rPr>
          <w:t>[4]</w:t>
        </w:r>
      </w:hyperlink>
      <w:r>
        <w:t xml:space="preserve">, </w:t>
      </w:r>
      <w:hyperlink r:id="rId13">
        <w:r>
          <w:rPr>
            <w:color w:val="0000EE"/>
            <w:u w:val="single"/>
          </w:rPr>
          <w:t>[6]</w:t>
        </w:r>
      </w:hyperlink>
      <w:r>
        <w:t xml:space="preserve">- Paragraph 6: </w:t>
      </w:r>
      <w:hyperlink r:id="rId14">
        <w:r>
          <w:rPr>
            <w:color w:val="0000EE"/>
            <w:u w:val="single"/>
          </w:rPr>
          <w:t>[5]</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http://prsync.com/mordor-intelligence/laser-capture-microdissection-market-projected-at-usd--million-by--boosted-by-expanding-cancer-research-applications-5183588/</w:t>
        </w:r>
      </w:hyperlink>
      <w:r>
        <w:t xml:space="preserve"> - Please view link - unable to able to access data</w:t>
      </w:r>
      <w:r/>
    </w:p>
    <w:p>
      <w:pPr>
        <w:pStyle w:val="ListNumber"/>
        <w:spacing w:line="240" w:lineRule="auto"/>
        <w:ind w:left="720"/>
      </w:pPr>
      <w:r/>
      <w:hyperlink r:id="rId10">
        <w:r>
          <w:rPr>
            <w:color w:val="0000EE"/>
            <w:u w:val="single"/>
          </w:rPr>
          <w:t>https://www.grandviewresearch.com/industry-analysis/laser-capture-microdissection-market-report</w:t>
        </w:r>
      </w:hyperlink>
      <w:r>
        <w:t xml:space="preserve"> - This report provides a comprehensive analysis of the global laser capture microdissection market, including market size, share, and trends from 2025 to 2030. It highlights the increasing demand for precision medicine, rising cancer incidences, and the adoption of clinical diagnostics as key factors driving market growth. The report also discusses the dominance of North America in the market and the significant share held by consumables in the revenue structure. Additionally, it addresses the impact of the COVID-19 pandemic on the market, noting a surge in research activities and the accelerated adoption of precision medicine and advanced diagnostics.</w:t>
      </w:r>
      <w:r/>
    </w:p>
    <w:p>
      <w:pPr>
        <w:pStyle w:val="ListNumber"/>
        <w:spacing w:line="240" w:lineRule="auto"/>
        <w:ind w:left="720"/>
      </w:pPr>
      <w:r/>
      <w:hyperlink r:id="rId12">
        <w:r>
          <w:rPr>
            <w:color w:val="0000EE"/>
            <w:u w:val="single"/>
          </w:rPr>
          <w:t>https://www.mordorintelligence.com/industry-reports/laser-capture-micro-dissection-market</w:t>
        </w:r>
      </w:hyperlink>
      <w:r>
        <w:t xml:space="preserve"> - This market analysis focuses on the laser capture microdissection industry, detailing its projected growth from USD 202.99 million in 2025 to USD 223.17 million in 2026, with a forecasted reach of USD 358.43 million by 2031, reflecting a CAGR of 9.94% during the forecast period. The report emphasizes the technology's role in bridging histopathology and molecular biology, enabling precise cell isolation while preserving spatial context. It also highlights the integration of artificial intelligence in laboratory workflows, the rising demand in pharmaceutical and biotechnology applications, and the increasing preference for consumables and infrared systems.</w:t>
      </w:r>
      <w:r/>
    </w:p>
    <w:p>
      <w:pPr>
        <w:pStyle w:val="ListNumber"/>
        <w:spacing w:line="240" w:lineRule="auto"/>
        <w:ind w:left="720"/>
      </w:pPr>
      <w:r/>
      <w:hyperlink r:id="rId11">
        <w:r>
          <w:rPr>
            <w:color w:val="0000EE"/>
            <w:u w:val="single"/>
          </w:rPr>
          <w:t>https://www.grandviewresearch.com/press-release/global-laser-capture-microdissection-market</w:t>
        </w:r>
      </w:hyperlink>
      <w:r>
        <w:t xml:space="preserve"> - This press release discusses the projected growth of the global laser capture microdissection market, expected to reach USD 329.0 million by 2030, registering a CAGR of 8.54% from 2025 to 2030. It attributes the growth to the increasing demand for precise and detailed cellular analysis across various research and clinical applications, the growing focus on personalized medicine, advancements in genomics and proteomics, and rising investments in cancer research. The release also notes the positive impact of the COVID-19 pandemic on the market, accelerating the adoption of precision medicine and advanced diagnostics.</w:t>
      </w:r>
      <w:r/>
    </w:p>
    <w:p>
      <w:pPr>
        <w:pStyle w:val="ListNumber"/>
        <w:spacing w:line="240" w:lineRule="auto"/>
        <w:ind w:left="720"/>
      </w:pPr>
      <w:r/>
      <w:hyperlink r:id="rId14">
        <w:r>
          <w:rPr>
            <w:color w:val="0000EE"/>
            <w:u w:val="single"/>
          </w:rPr>
          <w:t>https://www.reanin.com/reports/global-laser-capture-microdissection-market</w:t>
        </w:r>
      </w:hyperlink>
      <w:r>
        <w:t xml:space="preserve"> - This report provides insights into the global laser capture microdissection market, highlighting its expansion due to its critical role in selective cell isolation for downstream molecular studies. It notes that 55% of research institutions have adopted LCM technology to improve sample integrity and analysis accuracy. The report also discusses the market's fragmentation, with no dominant players, and mentions key companies such as Carl Zeiss AG, Danaher Corporation, Thermo Fisher Scientific Inc, 3dhistech Ltd, Denova Sciences Pte. Ltd, Indivumed GmbH, Ocimum Biosolutions Ltd, Molecular Machines &amp; Industries, and Theranostics Health Inc.</w:t>
      </w:r>
      <w:r/>
    </w:p>
    <w:p>
      <w:pPr>
        <w:pStyle w:val="ListNumber"/>
        <w:spacing w:line="240" w:lineRule="auto"/>
        <w:ind w:left="720"/>
      </w:pPr>
      <w:r/>
      <w:hyperlink r:id="rId13">
        <w:r>
          <w:rPr>
            <w:color w:val="0000EE"/>
            <w:u w:val="single"/>
          </w:rPr>
          <w:t>https://www.imarcgroup.com/global-laser-capture-microdissection-market</w:t>
        </w:r>
      </w:hyperlink>
      <w:r>
        <w:t xml:space="preserve"> - This report by IMARC Group provides an analysis of the global laser capture microdissection market, which reached a value of USD 176.0 million in 2025. It projects the market to reach USD 379.6 million by 2034, driven by the increasing application of the procedure in molecular studies. The report discusses the market's segmentation by product, system type, application, end user, and region, and highlights the growing demand for personalized medicines, expanding cancer research, significant growth in biomarker discovery, and advancements in drug development as key factors propelling the market's growth.</w:t>
      </w:r>
      <w:r/>
    </w:p>
    <w:p>
      <w:pPr>
        <w:pStyle w:val="ListNumber"/>
        <w:spacing w:line="240" w:lineRule="auto"/>
        <w:ind w:left="720"/>
      </w:pPr>
      <w:r/>
      <w:hyperlink r:id="rId15">
        <w:r>
          <w:rPr>
            <w:color w:val="0000EE"/>
            <w:u w:val="single"/>
          </w:rPr>
          <w:t>https://reports.valuates.com/market-reports/QYRE-Auto-32A11954/global-laser-capture-microdissection</w:t>
        </w:r>
      </w:hyperlink>
      <w:r>
        <w:t xml:space="preserve"> - This report provides an analysis of the global laser capture microdissection market size, manufacturers, supply chain, sales channel, and clients from 2025 to 2031. It estimates the market size in 2024 to be worth USD 161 million and forecasts it to reach approximately USD 256 million by 2031, with a CAGR of 7.0% during the forecast period. The report mentions key companies such as Carl Zeiss, Molecular Machines &amp; Industries, Leica Microsystems, and Thermo Fisher Scientific, and discusses the market's concentration and regional distribution.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prsync.com/mordor-intelligence/laser-capture-microdissection-market-projected-at-usd--million-by--boosted-by-expanding-cancer-research-applications-5183588/" TargetMode="External"/><Relationship Id="rId10" Type="http://schemas.openxmlformats.org/officeDocument/2006/relationships/hyperlink" Target="https://www.grandviewresearch.com/industry-analysis/laser-capture-microdissection-market-report" TargetMode="External"/><Relationship Id="rId11" Type="http://schemas.openxmlformats.org/officeDocument/2006/relationships/hyperlink" Target="https://www.grandviewresearch.com/press-release/global-laser-capture-microdissection-market" TargetMode="External"/><Relationship Id="rId12" Type="http://schemas.openxmlformats.org/officeDocument/2006/relationships/hyperlink" Target="https://www.mordorintelligence.com/industry-reports/laser-capture-micro-dissection-market" TargetMode="External"/><Relationship Id="rId13" Type="http://schemas.openxmlformats.org/officeDocument/2006/relationships/hyperlink" Target="https://www.imarcgroup.com/global-laser-capture-microdissection-market" TargetMode="External"/><Relationship Id="rId14" Type="http://schemas.openxmlformats.org/officeDocument/2006/relationships/hyperlink" Target="https://www.reanin.com/reports/global-laser-capture-microdissection-market" TargetMode="External"/><Relationship Id="rId15" Type="http://schemas.openxmlformats.org/officeDocument/2006/relationships/hyperlink" Target="https://reports.valuates.com/market-reports/QYRE-Auto-32A11954/global-laser-capture-microdissec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