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biofertilizers market projected to reach USD 6.62 billion by 2036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farmers alike are turning to biofertilizers as costs climb and soil-health rules bite; producers, policymakers and researchers worldwide are pushing microbial products from niche to norm, and understanding the market helps you pick the right type for your crops and budget.</w:t>
      </w:r>
      <w:r/>
    </w:p>
    <w:p>
      <w:r/>
      <w:r>
        <w:t>Essential Takeaways</w:t>
      </w:r>
      <w:r/>
      <w:r/>
    </w:p>
    <w:p>
      <w:pPr>
        <w:pStyle w:val="ListBullet"/>
        <w:spacing w:line="240" w:lineRule="auto"/>
        <w:ind w:left="720"/>
      </w:pPr>
      <w:r/>
      <w:r>
        <w:rPr>
          <w:b/>
        </w:rPr>
        <w:t>Market growth:</w:t>
      </w:r>
      <w:r>
        <w:t xml:space="preserve"> Global biofertilizers are forecast to grow strongly, roughly doubling in value by 2036 as farmers seek cheaper, sustainable inputs. </w:t>
      </w:r>
      <w:r/>
    </w:p>
    <w:p>
      <w:pPr>
        <w:pStyle w:val="ListBullet"/>
        <w:spacing w:line="240" w:lineRule="auto"/>
        <w:ind w:left="720"/>
      </w:pPr>
      <w:r/>
      <w:r>
        <w:rPr>
          <w:b/>
        </w:rPr>
        <w:t>Top product:</w:t>
      </w:r>
      <w:r>
        <w:t xml:space="preserve"> </w:t>
      </w:r>
      <w:r>
        <w:rPr>
          <w:b/>
        </w:rPr>
        <w:t>Nitrogen‑fixing</w:t>
      </w:r>
      <w:r>
        <w:t xml:space="preserve"> strains lead demand, especially for cereals and grains, because they replace costly synthetic N. </w:t>
      </w:r>
      <w:r/>
    </w:p>
    <w:p>
      <w:pPr>
        <w:pStyle w:val="ListBullet"/>
        <w:spacing w:line="240" w:lineRule="auto"/>
        <w:ind w:left="720"/>
      </w:pPr>
      <w:r/>
      <w:r>
        <w:rPr>
          <w:b/>
        </w:rPr>
        <w:t>Practical feel:</w:t>
      </w:r>
      <w:r>
        <w:t xml:space="preserve"> Liquid forms are easy to apply through irrigation, while carrier-based powders may need careful storage and have a milder scent. </w:t>
      </w:r>
      <w:r/>
    </w:p>
    <w:p>
      <w:pPr>
        <w:pStyle w:val="ListBullet"/>
        <w:spacing w:line="240" w:lineRule="auto"/>
        <w:ind w:left="720"/>
      </w:pPr>
      <w:r/>
      <w:r>
        <w:rPr>
          <w:b/>
        </w:rPr>
        <w:t>Regional drivers:</w:t>
      </w:r>
      <w:r>
        <w:t xml:space="preserve"> Emerging economies and policy incentives , notably in India and parts of Europe , are accelerating adoption. </w:t>
      </w:r>
      <w:r/>
    </w:p>
    <w:p>
      <w:pPr>
        <w:pStyle w:val="ListBullet"/>
        <w:spacing w:line="240" w:lineRule="auto"/>
        <w:ind w:left="720"/>
      </w:pPr>
      <w:r/>
      <w:r>
        <w:rPr>
          <w:b/>
        </w:rPr>
        <w:t>Key barrier:</w:t>
      </w:r>
      <w:r>
        <w:t xml:space="preserve"> Field variability and shelf‑life remain problems; farmer education and quality standards are crucial.</w:t>
      </w:r>
      <w:r/>
      <w:r/>
    </w:p>
    <w:p>
      <w:pPr>
        <w:pStyle w:val="Heading2"/>
      </w:pPr>
      <w:r>
        <w:t>Why biofertilizers are suddenly on every agronomist’s desk</w:t>
      </w:r>
      <w:r/>
    </w:p>
    <w:p>
      <w:r/>
      <w:r>
        <w:t>The clearest thing you’ll notice is urgency , synthetic fertiliser prices and soil‑health programmes are nudging growers towards biological alternatives with a soft, earthy scent rather than a chemical tang. Future Market Insights reports that the market is poised to expand significantly over the next decade, and that shift reflects policy as much as pocketbook pressure. Backstory-wise, decades of research into microbes like rhizobia, Azotobacter and phosphate‑solubilising bacteria have matured into products that actually deliver yield benefits in many scenarios. But remember: performance depends on soil, climate and how the product is applied, so it’s not a plug‑and‑play swap for every farm.</w:t>
      </w:r>
      <w:r/>
    </w:p>
    <w:p>
      <w:pPr>
        <w:pStyle w:val="Heading2"/>
      </w:pPr>
      <w:r>
        <w:t>Which products matter: Nitrogen‑fixers first, then precision blends</w:t>
      </w:r>
      <w:r/>
    </w:p>
    <w:p>
      <w:r/>
      <w:r>
        <w:t>If you’re choosing a product, start with nitrogen‑fixers , they currently capture the biggest market share and are most sought after for large cereal programmes. Phosphate‑solubilising and potash‑mobilising strains are catching up where soils show specific nutrient lockups. Liquid formulations are increasingly popular because they integrate with fertigation systems, giving a clean, nearly odourless option that’s easy to dose. Carrier powders can feel more rustic and need cool, dry storage to keep germ counts high.</w:t>
      </w:r>
      <w:r/>
    </w:p>
    <w:p>
      <w:pPr>
        <w:pStyle w:val="Heading2"/>
      </w:pPr>
      <w:r>
        <w:t>Where adoption is fastest , the geography of microbial momentum</w:t>
      </w:r>
      <w:r/>
    </w:p>
    <w:p>
      <w:r/>
      <w:r>
        <w:t>Growth isn’t uniform. Countries with subsidy programmes, active extension services and research commercialisation , India, parts of the EU and selected Latin American markets , are leading. In these regions, public procurement, cooperative networks and farmer outreach shorten the learning curve. Meanwhile, high‑value horticulture and specialty crop sectors in the US and Europe adopt biofertilisers faster where precise soil testing reveals gaps. If you operate internationally, expect to see hot spots of rapid uptake rather than an even roll‑out.</w:t>
      </w:r>
      <w:r/>
    </w:p>
    <w:p>
      <w:pPr>
        <w:pStyle w:val="Heading2"/>
      </w:pPr>
      <w:r>
        <w:t>Challenges you’ll want to watch before switching everything</w:t>
      </w:r>
      <w:r/>
    </w:p>
    <w:p>
      <w:r/>
      <w:r>
        <w:t>There are honest hurdles: inconsistent field results, strain standardisation gaps and limited shelf life for some carriers. Industry studies and market analyses highlight these as the twin constraints to scaling. Practical tip: start small and test products under local conditions; ask suppliers for viability guarantees and look for third‑party lab data. Education and a reliable distribution chain make the difference between a successful trial and a wasted season.</w:t>
      </w:r>
      <w:r/>
    </w:p>
    <w:p>
      <w:pPr>
        <w:pStyle w:val="Heading2"/>
      </w:pPr>
      <w:r>
        <w:t>How companies are competing , R&amp;D, formulation and outreach</w:t>
      </w:r>
      <w:r/>
    </w:p>
    <w:p>
      <w:r/>
      <w:r>
        <w:t>Competition is less about price and more about the science and supply chain. Firms investing in tailored microbial consortia, better carrier tech and liquid platforms are gaining traction. According to market research, innovation in formulation stability and crop‑specific solutions is becoming a primary differentiator. For growers, that means you should favour suppliers who offer local agronomic support and demonstrable field trials. A slick label matters less than a field rep who knows your soil profile.</w:t>
      </w:r>
      <w:r/>
    </w:p>
    <w:p>
      <w:pPr>
        <w:pStyle w:val="Heading2"/>
      </w:pPr>
      <w:r>
        <w:t>Choosing the right biofertilizer for your farm</w:t>
      </w:r>
      <w:r/>
    </w:p>
    <w:p>
      <w:r/>
      <w:r>
        <w:t>Look at crop type first , cereals and grains are heavy users , then match the product to soil diagnostics. If you have an irrigation system, liquid options are convenient; if you’re in a remote area, stable carrier products with clear storage guidance might suit you better. Also check certification and whether the supplier provides handling instructions and trial data. A staged roll‑out across a few hectares will show you whether yield gains and cost savings actually stack up on your farm.</w:t>
      </w:r>
      <w:r/>
    </w:p>
    <w:p>
      <w:r/>
      <w:r>
        <w:t>It’s a small change that can make every nutrient count more and your soil healthier in the long run.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[7]</w:t>
        </w:r>
      </w:hyperlink>
      <w:r>
        <w:t xml:space="preserve">- Paragraph 6: </w:t>
      </w:r>
      <w:hyperlink r:id="rId13">
        <w:r>
          <w:rPr>
            <w:color w:val="0000EE"/>
            <w:u w:val="single"/>
          </w:rPr>
          <w:t>[5]</w:t>
        </w:r>
      </w:hyperlink>
      <w:r>
        <w:t xml:space="preserve">, </w:t>
      </w:r>
      <w:hyperlink r:id="rId15">
        <w:r>
          <w:rPr>
            <w:color w:val="0000EE"/>
            <w:u w:val="single"/>
          </w:rPr>
          <w:t>[6]</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https://www.openpr.com/news/4499101/global-biofertilizers-market-outlook-2026-2036-microbial</w:t>
        </w:r>
      </w:hyperlink>
      <w:r>
        <w:t xml:space="preserve"> - Please view link - unable to able to access data</w:t>
      </w:r>
      <w:r/>
    </w:p>
    <w:p>
      <w:pPr>
        <w:pStyle w:val="ListNumber"/>
        <w:spacing w:line="240" w:lineRule="auto"/>
        <w:ind w:left="720"/>
      </w:pPr>
      <w:r/>
      <w:hyperlink r:id="rId10">
        <w:r>
          <w:rPr>
            <w:color w:val="0000EE"/>
            <w:u w:val="single"/>
          </w:rPr>
          <w:t>https://www.omrglobal.com/press-release/global-biofertilizers-market-growth</w:t>
        </w:r>
      </w:hyperlink>
      <w:r>
        <w:t xml:space="preserve"> - The global biofertilizers market was valued at $2.7 billion in 2025 and is projected to reach $6.6 billion by 2035, growing at a CAGR of 8.5% during the forecast period (2026-2035). This growth is driven by increased investment in biofertilizer technologies, enhancing research, product development, and commercialization efforts. For instance, in July 2025, NZN secured $6.6 million in a Seed Round co-led by World Fund and Azolla Ventures, bringing its total funding to $8.3 million. The financing also includes contributions from Zero Carbon Capital, Revent, Kibo Invest, and Innovate UK. NZN's biofertilizer, a novel bioinoculant using endophytic bacteria, allows crops to fix nitrogen, reducing the need for synthetic nitrogen fertilizers (SNFs). Field trials show that a single application can minimize synthetic fertilizer use while enhancing yields and crop quality, all in compliance with EU regulations and easy for farmers to adopt.</w:t>
      </w:r>
      <w:r/>
    </w:p>
    <w:p>
      <w:pPr>
        <w:pStyle w:val="ListNumber"/>
        <w:spacing w:line="240" w:lineRule="auto"/>
        <w:ind w:left="720"/>
      </w:pPr>
      <w:r/>
      <w:hyperlink r:id="rId12">
        <w:r>
          <w:rPr>
            <w:color w:val="0000EE"/>
            <w:u w:val="single"/>
          </w:rPr>
          <w:t>https://www.marketdataforecast.com/market-reports/global-biofertilizers-market</w:t>
        </w:r>
      </w:hyperlink>
      <w:r>
        <w:t xml:space="preserve"> - The global biofertilizers market was valued at USD 3.03 billion in 2025, is estimated to reach USD 3.40 billion in 2026, and is projected to expand to USD 8.46 billion by 2034, registering a robust CAGR of 12.09% during the forecast period from 2026 to 2034. Market growth is primarily driven by the global transition toward sustainable agriculture, stringent regulations on chemical fertilizer usage, and rising awareness of soil health and microbial nutrient management.</w:t>
      </w:r>
      <w:r/>
    </w:p>
    <w:p>
      <w:pPr>
        <w:pStyle w:val="ListNumber"/>
        <w:spacing w:line="240" w:lineRule="auto"/>
        <w:ind w:left="720"/>
      </w:pPr>
      <w:r/>
      <w:hyperlink r:id="rId11">
        <w:r>
          <w:rPr>
            <w:color w:val="0000EE"/>
            <w:u w:val="single"/>
          </w:rPr>
          <w:t>https://www.grandviewresearch.com/industry-analysis/biofertilizers-industry</w:t>
        </w:r>
      </w:hyperlink>
      <w:r>
        <w:t xml:space="preserve"> - The global biofertilizers market size was estimated at USD 1.38 billion in 2024 and is projected to reach USD 2.83 billion by 2030, growing at a CAGR of 12.8% from 2025 to 2030. The increasing use of microbial biofertilizers demonstrates their potential for promoting sustainable farming practices and ensuring food safety.</w:t>
      </w:r>
      <w:r/>
    </w:p>
    <w:p>
      <w:pPr>
        <w:pStyle w:val="ListNumber"/>
        <w:spacing w:line="240" w:lineRule="auto"/>
        <w:ind w:left="720"/>
      </w:pPr>
      <w:r/>
      <w:hyperlink r:id="rId13">
        <w:r>
          <w:rPr>
            <w:color w:val="0000EE"/>
            <w:u w:val="single"/>
          </w:rPr>
          <w:t>https://www.imarcgroup.com/biofertilizer-azotobacter-and-rhizobium-manufacturing-plant</w:t>
        </w:r>
      </w:hyperlink>
      <w:r>
        <w:t xml:space="preserve"> - The global biofertilizer market size reached USD 3.8 Billion in 2025. Looking forward, IMARC Group expects the market to reach USD 9.4 Billion by 2034, exhibiting a growth rate (CAGR) of 10.08% during 2026-2034. The increasing demand for sustainable agricultural practices, the rising awareness about environmental concerns, government initiatives promoting organic farming, and the need to reduce chemical fertilizer usage are among the key factors propelling the market.</w:t>
      </w:r>
      <w:r/>
    </w:p>
    <w:p>
      <w:pPr>
        <w:pStyle w:val="ListNumber"/>
        <w:spacing w:line="240" w:lineRule="auto"/>
        <w:ind w:left="720"/>
      </w:pPr>
      <w:r/>
      <w:hyperlink r:id="rId15">
        <w:r>
          <w:rPr>
            <w:color w:val="0000EE"/>
            <w:u w:val="single"/>
          </w:rPr>
          <w:t>https://www.grandviewresearch.com/press-release/global-biofertilizers-market</w:t>
        </w:r>
      </w:hyperlink>
      <w:r>
        <w:t xml:space="preserve"> - The global biofertilizers market size is anticipated to reach USD 2.83 billion by 2030, according to a new report by Grand View Research, Inc. The market is projected to grow at a CAGR of 12.8% from 2025 to 2030. Rising demand for organically produced food products across emerging economies backed with growing economic stability is the key boost to the marketspace.</w:t>
      </w:r>
      <w:r/>
    </w:p>
    <w:p>
      <w:pPr>
        <w:pStyle w:val="ListNumber"/>
        <w:spacing w:line="240" w:lineRule="auto"/>
        <w:ind w:left="720"/>
      </w:pPr>
      <w:r/>
      <w:hyperlink r:id="rId14">
        <w:r>
          <w:rPr>
            <w:color w:val="0000EE"/>
            <w:u w:val="single"/>
          </w:rPr>
          <w:t>https://www.fortunebusinessinsights.com/industry-reports/biofertilizers-market-100413</w:t>
        </w:r>
      </w:hyperlink>
      <w:r>
        <w:t xml:space="preserve"> - The global biofertilizers market size was valued at USD 2.81 billion in 2025 and is projected to grow from USD 3.13 billion in 2026 to USD 8.09 billion by 2034, exhibiting a CAGR of 12.60% during the forecast period. Asia Pacific dominated the biofertilizers market with a market share of 17.96%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99101/global-biofertilizers-market-outlook-2026-2036-microbial" TargetMode="External"/><Relationship Id="rId10" Type="http://schemas.openxmlformats.org/officeDocument/2006/relationships/hyperlink" Target="https://www.omrglobal.com/press-release/global-biofertilizers-market-growth" TargetMode="External"/><Relationship Id="rId11" Type="http://schemas.openxmlformats.org/officeDocument/2006/relationships/hyperlink" Target="https://www.grandviewresearch.com/industry-analysis/biofertilizers-industry" TargetMode="External"/><Relationship Id="rId12" Type="http://schemas.openxmlformats.org/officeDocument/2006/relationships/hyperlink" Target="https://www.marketdataforecast.com/market-reports/global-biofertilizers-market" TargetMode="External"/><Relationship Id="rId13" Type="http://schemas.openxmlformats.org/officeDocument/2006/relationships/hyperlink" Target="https://www.imarcgroup.com/biofertilizer-azotobacter-and-rhizobium-manufacturing-plant" TargetMode="External"/><Relationship Id="rId14" Type="http://schemas.openxmlformats.org/officeDocument/2006/relationships/hyperlink" Target="https://www.fortunebusinessinsights.com/industry-reports/biofertilizers-market-100413" TargetMode="External"/><Relationship Id="rId15" Type="http://schemas.openxmlformats.org/officeDocument/2006/relationships/hyperlink" Target="https://www.grandviewresearch.com/press-release/global-biofertilizer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