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petrochemicals market expected to reach USD 996.1 billion by 2034</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investors and industry leaders are watching the petrochemicals market as it expands; global demand, AI-driven efficiency gains and Asia Pacific investment are steering growth, and understanding these forces matters if you trade, build or regulate in energy-intensive sectors.</w:t>
      </w:r>
      <w:r/>
    </w:p>
    <w:p>
      <w:r/>
      <w:r>
        <w:t>Essential Takeaways</w:t>
      </w:r>
      <w:r/>
      <w:r/>
    </w:p>
    <w:p>
      <w:pPr>
        <w:pStyle w:val="ListBullet"/>
        <w:spacing w:line="240" w:lineRule="auto"/>
        <w:ind w:left="720"/>
      </w:pPr>
      <w:r/>
      <w:r>
        <w:rPr>
          <w:b/>
        </w:rPr>
        <w:t>Market scale:</w:t>
      </w:r>
      <w:r>
        <w:t xml:space="preserve"> The global petrochemicals market was worth hundreds of billions in 2025 and is forecast to grow strongly through the next decade. </w:t>
      </w:r>
      <w:r/>
    </w:p>
    <w:p>
      <w:pPr>
        <w:pStyle w:val="ListBullet"/>
        <w:spacing w:line="240" w:lineRule="auto"/>
        <w:ind w:left="720"/>
      </w:pPr>
      <w:r/>
      <w:r>
        <w:rPr>
          <w:b/>
        </w:rPr>
        <w:t>AI savings:</w:t>
      </w:r>
      <w:r>
        <w:t xml:space="preserve"> Predictive maintenance and process optimisation with AI could save operators billions by cutting unplanned downtime. </w:t>
      </w:r>
      <w:r/>
    </w:p>
    <w:p>
      <w:pPr>
        <w:pStyle w:val="ListBullet"/>
        <w:spacing w:line="240" w:lineRule="auto"/>
        <w:ind w:left="720"/>
      </w:pPr>
      <w:r/>
      <w:r>
        <w:rPr>
          <w:b/>
        </w:rPr>
        <w:t>Regional power:</w:t>
      </w:r>
      <w:r>
        <w:t xml:space="preserve"> Asia Pacific accounts for roughly half the market, supported by industrialisation, government investment and abundant feedstock. </w:t>
      </w:r>
      <w:r/>
    </w:p>
    <w:p>
      <w:pPr>
        <w:pStyle w:val="ListBullet"/>
        <w:spacing w:line="240" w:lineRule="auto"/>
        <w:ind w:left="720"/>
      </w:pPr>
      <w:r/>
      <w:r>
        <w:rPr>
          <w:b/>
        </w:rPr>
        <w:t>Feedstock risk:</w:t>
      </w:r>
      <w:r>
        <w:t xml:space="preserve"> Crude oil price swings still shape margins, encouraging hedging and long-term contracts. </w:t>
      </w:r>
      <w:r/>
    </w:p>
    <w:p>
      <w:pPr>
        <w:pStyle w:val="ListBullet"/>
        <w:spacing w:line="240" w:lineRule="auto"/>
        <w:ind w:left="720"/>
      </w:pPr>
      <w:r/>
      <w:r>
        <w:rPr>
          <w:b/>
        </w:rPr>
        <w:t>End-market shift:</w:t>
      </w:r>
      <w:r>
        <w:t xml:space="preserve"> Automotive, packaging and construction demand , plus circular and bio-based pressures , are changing what petrochemicals makers produce.</w:t>
      </w:r>
      <w:r/>
      <w:r/>
    </w:p>
    <w:p>
      <w:pPr>
        <w:pStyle w:val="Heading2"/>
      </w:pPr>
      <w:r>
        <w:t>Why the petrochemicals market is suddenly back on every radar</w:t>
      </w:r>
      <w:r/>
    </w:p>
    <w:p>
      <w:r/>
      <w:r>
        <w:t>The industry is big, and it's getting bigger in dollar terms, with analysts forecasting near-term growth that will keep boardrooms busy for years. Investors and procurement teams are watching headline numbers because a small percentage gain in ethylene yields or a reliability improvement in crackers translates to huge cash flows. According to market research firms, the sector’s scale and growth projections are a clear signal that petrochemicals remain central to modern manufacturing and consumer supply chains.</w:t>
      </w:r>
      <w:r/>
    </w:p>
    <w:p>
      <w:r/>
      <w:r>
        <w:t>This momentum is rooted in steady demand from plastics, paints, adhesives and more, and from new automotive and construction applications. Companies are responding by expanding capacity, upgrading plants and pursuing strategic joint ventures. For business leaders, the lesson is simple: treat petrochemicals as both a commodity play and a tech opportunity.</w:t>
      </w:r>
      <w:r/>
    </w:p>
    <w:p>
      <w:pPr>
        <w:pStyle w:val="Heading2"/>
      </w:pPr>
      <w:r>
        <w:t>How AI is turning plants into smarter, quieter money-makers</w:t>
      </w:r>
      <w:r/>
    </w:p>
    <w:p>
      <w:r/>
      <w:r>
        <w:t>AI-driven predictive maintenance and process optimisation are no longer experimental lab projects; they're delivering measurable savings by spotting pump and turbine issues before they fail. Smart sensors and machine learning models analyse vibration, temperature and flow data in real time, reducing costly unplanned shutdowns across refineries and steam crackers.</w:t>
      </w:r>
      <w:r/>
    </w:p>
    <w:p>
      <w:r/>
      <w:r>
        <w:t>Beyond fewer breakdowns, AI systems tune process variables to squeeze more product from the same feedstock , a 1% improvement in ethylene yield, for instance, can be worth tens of millions to a large producer. For plant managers, the practical step is pilot projects focused on high-value units and clear KPIs, then scaling what works. Expect automation vendors and software houses to push integrated solutions as the next competitive battleground.</w:t>
      </w:r>
      <w:r/>
    </w:p>
    <w:p>
      <w:pPr>
        <w:pStyle w:val="Heading2"/>
      </w:pPr>
      <w:r>
        <w:t>Asia Pacific: the engine of petrochemicals demand</w:t>
      </w:r>
      <w:r/>
    </w:p>
    <w:p>
      <w:r/>
      <w:r>
        <w:t>Asia Pacific holds roughly half of global petrochemical demand, driven by rapid urbanisation, expanding manufacturing and robust government investment in industrial hubs. China, India and other regional players are expanding both downstream polymer capacity and upstream integration, aiming to capture more of the value chain domestically.</w:t>
      </w:r>
      <w:r/>
    </w:p>
    <w:p>
      <w:r/>
      <w:r>
        <w:t>That concentration matters because it shapes shipping patterns, feedstock sourcing and investment decisions worldwide. For procurement teams, diversifying supply lines and negotiating longer-term contracts with Asian suppliers is becoming standard practice. Policymakers, meanwhile, face the twin challenge of enabling industrial growth while managing environmental and social impacts.</w:t>
      </w:r>
      <w:r/>
    </w:p>
    <w:p>
      <w:pPr>
        <w:pStyle w:val="Heading2"/>
      </w:pPr>
      <w:r>
        <w:t>Feedstock, prices and the geopolitics that still matter</w:t>
      </w:r>
      <w:r/>
    </w:p>
    <w:p>
      <w:r/>
      <w:r>
        <w:t>Crude oil remains the primary feedstock for many petrochemical processes, so oil price volatility continues to bite margins. Producing nations and OPEC members wield significant influence over reserves and pricing, which nudges firms toward hedging strategies, forward contracts and integrated refineries to stabilise input costs.</w:t>
      </w:r>
      <w:r/>
    </w:p>
    <w:p>
      <w:r/>
      <w:r>
        <w:t>Companies are also looking at alternative feedstocks and circular approaches , think bio-based monomers and chemical recycling , as both risk management and a response to regulatory pressure. If you work in procurement or corporate strategy, building flexible sourcing and considering feedstock optionality will reduce exposure to sudden price moves.</w:t>
      </w:r>
      <w:r/>
    </w:p>
    <w:p>
      <w:pPr>
        <w:pStyle w:val="Heading2"/>
      </w:pPr>
      <w:r>
        <w:t>Regulation, sustainability and the race to cleaner chemistry</w:t>
      </w:r>
      <w:r/>
    </w:p>
    <w:p>
      <w:r/>
      <w:r>
        <w:t>Environmental rules in major markets are tightening, and consumers want recyclable, lower-carbon products. That means compliance costs for emissions and a strategic push into greener chemistry: bio-polymers, improved energy efficiency technologies and closed-loop recycling pilots.</w:t>
      </w:r>
      <w:r/>
    </w:p>
    <w:p>
      <w:r/>
      <w:r>
        <w:t>Firms investing early in sustainable routes often gain both reputational and commercial advantages, winning brand partnerships and new contracts. For R&amp;D teams, that translates into dual focus: optimise existing petrochemical processes with tools like Honeywell’s energy efficiency tech, while scaling alternatives that fit circular-economy models.</w:t>
      </w:r>
      <w:r/>
    </w:p>
    <w:p>
      <w:pPr>
        <w:pStyle w:val="Heading2"/>
      </w:pPr>
      <w:r>
        <w:t>What this means for buyers, investors and industry watchers</w:t>
      </w:r>
      <w:r/>
    </w:p>
    <w:p>
      <w:r/>
      <w:r>
        <w:t>If you’re buying materials for manufacturing, expect more options and volatility: longer lead times for new projects, mixed pricing signals from crude markets, and growing availability of bio-based alternatives. Investors should watch which companies combine strong asset positions with digital capabilities , those are likelier to protect margins and grow earnings.</w:t>
      </w:r>
      <w:r/>
    </w:p>
    <w:p>
      <w:r/>
      <w:r>
        <w:t>For policymakers and local communities, the message is balancing industrial development with stricter environmental oversight and skills development. At ground level, engineers and plant managers will be the ones implementing AI and sustainability projects that determine whether forecasts turn into real-world gains.</w:t>
      </w:r>
      <w:r/>
    </w:p>
    <w:p>
      <w:r/>
      <w:r>
        <w:t>It's a small change in process or feedstock that can make every tonne cheaper, cleaner and more reliable.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[5]</w:t>
        </w:r>
      </w:hyperlink>
      <w:r>
        <w:t xml:space="preserve">- Paragraph 6: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https://vocal.media/futurism/petrochemicals-market-outlook-industrial-demand-expansion-and-growth-opportunities</w:t>
        </w:r>
      </w:hyperlink>
      <w:r>
        <w:t xml:space="preserve"> - Please view link - unable to able to access data</w:t>
      </w:r>
      <w:r/>
    </w:p>
    <w:p>
      <w:pPr>
        <w:pStyle w:val="ListNumber"/>
        <w:spacing w:line="240" w:lineRule="auto"/>
        <w:ind w:left="720"/>
      </w:pPr>
      <w:r/>
      <w:hyperlink r:id="rId10">
        <w:r>
          <w:rPr>
            <w:color w:val="0000EE"/>
            <w:u w:val="single"/>
          </w:rPr>
          <w:t>https://www.imarcgroup.com/global-petrochemicals-market</w:t>
        </w:r>
      </w:hyperlink>
      <w:r>
        <w:t xml:space="preserve"> - IMARC Group's report indicates that the global petrochemicals market was valued at USD 675.7 billion in 2025 and is projected to reach USD 996.1 billion by 2034, growing at a CAGR of 4.40% from 2026 to 2034. (</w:t>
      </w:r>
      <w:hyperlink r:id="rId16">
        <w:r>
          <w:rPr>
            <w:color w:val="0000EE"/>
            <w:u w:val="single"/>
          </w:rPr>
          <w:t>imarcgroup.com</w:t>
        </w:r>
      </w:hyperlink>
      <w:r>
        <w:t>)</w:t>
      </w:r>
      <w:r/>
    </w:p>
    <w:p>
      <w:pPr>
        <w:pStyle w:val="ListNumber"/>
        <w:spacing w:line="240" w:lineRule="auto"/>
        <w:ind w:left="720"/>
      </w:pPr>
      <w:r/>
      <w:hyperlink r:id="rId14">
        <w:r>
          <w:rPr>
            <w:color w:val="0000EE"/>
            <w:u w:val="single"/>
          </w:rPr>
          <w:t>https://www.imarcgroup.com/petrochemicals-market-statistics</w:t>
        </w:r>
      </w:hyperlink>
      <w:r>
        <w:t xml:space="preserve"> - According to IMARC Group, the global petrochemicals market size was USD 675.7 billion in 2025 and is expected to reach USD 996.1 billion by 2034, exhibiting a growth rate of 4.40% during 2026-2034. (</w:t>
      </w:r>
      <w:hyperlink r:id="rId17">
        <w:r>
          <w:rPr>
            <w:color w:val="0000EE"/>
            <w:u w:val="single"/>
          </w:rPr>
          <w:t>imarcgroup.com</w:t>
        </w:r>
      </w:hyperlink>
      <w:r>
        <w:t>)</w:t>
      </w:r>
      <w:r/>
    </w:p>
    <w:p>
      <w:pPr>
        <w:pStyle w:val="ListNumber"/>
        <w:spacing w:line="240" w:lineRule="auto"/>
        <w:ind w:left="720"/>
      </w:pPr>
      <w:r/>
      <w:hyperlink r:id="rId11">
        <w:r>
          <w:rPr>
            <w:color w:val="0000EE"/>
            <w:u w:val="single"/>
          </w:rPr>
          <w:t>https://www.imarcgroup.com/petrochemicals-market</w:t>
        </w:r>
      </w:hyperlink>
      <w:r>
        <w:t xml:space="preserve"> - IMARC Group's report forecasts the global petrochemicals market to reach USD 996.1 billion by 2034, with a CAGR of 4.40% from 2026 to 2034. (</w:t>
      </w:r>
      <w:hyperlink r:id="rId18">
        <w:r>
          <w:rPr>
            <w:color w:val="0000EE"/>
            <w:u w:val="single"/>
          </w:rPr>
          <w:t>imarcgroup.com</w:t>
        </w:r>
      </w:hyperlink>
      <w:r>
        <w:t>)</w:t>
      </w:r>
      <w:r/>
    </w:p>
    <w:p>
      <w:pPr>
        <w:pStyle w:val="ListNumber"/>
        <w:spacing w:line="240" w:lineRule="auto"/>
        <w:ind w:left="720"/>
      </w:pPr>
      <w:r/>
      <w:hyperlink r:id="rId15">
        <w:r>
          <w:rPr>
            <w:color w:val="0000EE"/>
            <w:u w:val="single"/>
          </w:rPr>
          <w:t>https://www.globenewswire.com/news-release/2026/04/17/3276249/0/en/Petrochemicals-Market-Size-to-Reach-USD-1-263-95-Billion-By-2035.html</w:t>
        </w:r>
      </w:hyperlink>
      <w:r>
        <w:t xml:space="preserve"> - Precedence Research estimates that the global petrochemicals market was valued at USD 715.85 billion in 2025 and is projected to reach USD 1,263.95 billion by 2035, growing at a CAGR of 5.85% from 2026 to 2035. (</w:t>
      </w:r>
      <w:hyperlink r:id="rId19">
        <w:r>
          <w:rPr>
            <w:color w:val="0000EE"/>
            <w:u w:val="single"/>
          </w:rPr>
          <w:t>globenewswire.com</w:t>
        </w:r>
      </w:hyperlink>
      <w:r>
        <w:t>)</w:t>
      </w:r>
      <w:r/>
    </w:p>
    <w:p>
      <w:pPr>
        <w:pStyle w:val="ListNumber"/>
        <w:spacing w:line="240" w:lineRule="auto"/>
        <w:ind w:left="720"/>
      </w:pPr>
      <w:r/>
      <w:hyperlink r:id="rId12">
        <w:r>
          <w:rPr>
            <w:color w:val="0000EE"/>
            <w:u w:val="single"/>
          </w:rPr>
          <w:t>https://arxiv.org/abs/2511.12175</w:t>
        </w:r>
      </w:hyperlink>
      <w:r>
        <w:t xml:space="preserve"> - This study presents an AI-enhanced IoT framework for predictive maintenance and affordability optimization in smart microgrids using a Digital Twin modeling approach. (</w:t>
      </w:r>
      <w:hyperlink r:id="rId20">
        <w:r>
          <w:rPr>
            <w:color w:val="0000EE"/>
            <w:u w:val="single"/>
          </w:rPr>
          <w:t>arxiv.org</w:t>
        </w:r>
      </w:hyperlink>
      <w:r>
        <w:t>)</w:t>
      </w:r>
      <w:r/>
    </w:p>
    <w:p>
      <w:pPr>
        <w:pStyle w:val="ListNumber"/>
        <w:spacing w:line="240" w:lineRule="auto"/>
        <w:ind w:left="720"/>
      </w:pPr>
      <w:r/>
      <w:hyperlink r:id="rId13">
        <w:r>
          <w:rPr>
            <w:color w:val="0000EE"/>
            <w:u w:val="single"/>
          </w:rPr>
          <w:t>https://arxiv.org/abs/2306.11040</w:t>
        </w:r>
      </w:hyperlink>
      <w:r>
        <w:t xml:space="preserve"> - This thesis explores applications of artificial intelligence and deep learning for predictive maintenance, diagnostics, and prognostics in oilfield equipment. (</w:t>
      </w:r>
      <w:hyperlink r:id="rId21">
        <w:r>
          <w:rPr>
            <w:color w:val="0000EE"/>
            <w:u w:val="single"/>
          </w:rPr>
          <w:t>arxiv.org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ocal.media/futurism/petrochemicals-market-outlook-industrial-demand-expansion-and-growth-opportunities" TargetMode="External"/><Relationship Id="rId10" Type="http://schemas.openxmlformats.org/officeDocument/2006/relationships/hyperlink" Target="https://www.imarcgroup.com/global-petrochemicals-market" TargetMode="External"/><Relationship Id="rId11" Type="http://schemas.openxmlformats.org/officeDocument/2006/relationships/hyperlink" Target="https://www.imarcgroup.com/petrochemicals-market" TargetMode="External"/><Relationship Id="rId12" Type="http://schemas.openxmlformats.org/officeDocument/2006/relationships/hyperlink" Target="https://arxiv.org/abs/2511.12175" TargetMode="External"/><Relationship Id="rId13" Type="http://schemas.openxmlformats.org/officeDocument/2006/relationships/hyperlink" Target="https://arxiv.org/abs/2306.11040" TargetMode="External"/><Relationship Id="rId14" Type="http://schemas.openxmlformats.org/officeDocument/2006/relationships/hyperlink" Target="https://www.imarcgroup.com/petrochemicals-market-statistics" TargetMode="External"/><Relationship Id="rId15" Type="http://schemas.openxmlformats.org/officeDocument/2006/relationships/hyperlink" Target="https://www.globenewswire.com/news-release/2026/04/17/3276249/0/en/Petrochemicals-Market-Size-to-Reach-USD-1-263-95-Billion-By-2035.html" TargetMode="External"/><Relationship Id="rId16" Type="http://schemas.openxmlformats.org/officeDocument/2006/relationships/hyperlink" Target="https://www.imarcgroup.com/global-petrochemicals-market?utm_source=openai" TargetMode="External"/><Relationship Id="rId17" Type="http://schemas.openxmlformats.org/officeDocument/2006/relationships/hyperlink" Target="https://www.imarcgroup.com/petrochemicals-market-statistics?utm_source=openai" TargetMode="External"/><Relationship Id="rId18" Type="http://schemas.openxmlformats.org/officeDocument/2006/relationships/hyperlink" Target="https://www.imarcgroup.com/petrochemicals-market?utm_source=openai" TargetMode="External"/><Relationship Id="rId19" Type="http://schemas.openxmlformats.org/officeDocument/2006/relationships/hyperlink" Target="https://www.globenewswire.com/news-release/2026/04/17/3276249/0/en/Petrochemicals-Market-Size-to-Reach-USD-1-263-95-Billion-By-2035.html?utm_source=openai" TargetMode="External"/><Relationship Id="rId20" Type="http://schemas.openxmlformats.org/officeDocument/2006/relationships/hyperlink" Target="https://arxiv.org/abs/2511.12175?utm_source=openai" TargetMode="External"/><Relationship Id="rId21" Type="http://schemas.openxmlformats.org/officeDocument/2006/relationships/hyperlink" Target="https://arxiv.org/abs/2306.1104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