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Morgan Stanley raises tech giants capex forecast to $805 billion for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data centres and investors alike are circling the new capex story: Morgan Stanley has lifted its combined hyperscaler capital-spending forecast to $805bn for 2026, a signal that big tech is doubling down on AI infrastructure , and that shift could matter for Microsoft, Meta and the wider chip and cloud supply chain.</w:t>
      </w:r>
      <w:r/>
    </w:p>
    <w:p>
      <w:r/>
      <w:r>
        <w:t>Essential Takeaways</w:t>
      </w:r>
      <w:r/>
      <w:r/>
    </w:p>
    <w:p>
      <w:pPr>
        <w:pStyle w:val="ListBullet"/>
        <w:spacing w:line="240" w:lineRule="auto"/>
        <w:ind w:left="720"/>
      </w:pPr>
      <w:r/>
      <w:r>
        <w:rPr>
          <w:b/>
        </w:rPr>
        <w:t>Bigger number:</w:t>
      </w:r>
      <w:r>
        <w:t xml:space="preserve"> Morgan Stanley now projects about $805bn in capex from major hyperscalers in 2026, signalling a sharp uptick in infrastructure spending. </w:t>
      </w:r>
      <w:r/>
    </w:p>
    <w:p>
      <w:pPr>
        <w:pStyle w:val="ListBullet"/>
        <w:spacing w:line="240" w:lineRule="auto"/>
        <w:ind w:left="720"/>
      </w:pPr>
      <w:r/>
      <w:r>
        <w:rPr>
          <w:b/>
        </w:rPr>
        <w:t>AI-first spending:</w:t>
      </w:r>
      <w:r>
        <w:t xml:space="preserve"> The rise is tied to heavier investment in AI compute, data centres and related hardware, which smells like longer workloads and denser racks. </w:t>
      </w:r>
      <w:r/>
    </w:p>
    <w:p>
      <w:pPr>
        <w:pStyle w:val="ListBullet"/>
        <w:spacing w:line="240" w:lineRule="auto"/>
        <w:ind w:left="720"/>
      </w:pPr>
      <w:r/>
      <w:r>
        <w:rPr>
          <w:b/>
        </w:rPr>
        <w:t>Winners in focus:</w:t>
      </w:r>
      <w:r>
        <w:t xml:space="preserve"> Markets see this as supportive of Microsoft and Meta’s growth trajectories, though odds differ , Meta’s price targets appear especially buoyant. </w:t>
      </w:r>
      <w:r/>
    </w:p>
    <w:p>
      <w:pPr>
        <w:pStyle w:val="ListBullet"/>
        <w:spacing w:line="240" w:lineRule="auto"/>
        <w:ind w:left="720"/>
      </w:pPr>
      <w:r/>
      <w:r>
        <w:rPr>
          <w:b/>
        </w:rPr>
        <w:t>Policy and supply-chain angle:</w:t>
      </w:r>
      <w:r>
        <w:t xml:space="preserve"> US industrial policy, including the CHIPS Act, is a backdrop , expect onshoring and semiconductor security to shape where cash flows. </w:t>
      </w:r>
      <w:r/>
    </w:p>
    <w:p>
      <w:pPr>
        <w:pStyle w:val="ListBullet"/>
        <w:spacing w:line="240" w:lineRule="auto"/>
        <w:ind w:left="720"/>
      </w:pPr>
      <w:r/>
      <w:r>
        <w:rPr>
          <w:b/>
        </w:rPr>
        <w:t>Watch the signals:</w:t>
      </w:r>
      <w:r>
        <w:t xml:space="preserve"> Quarterly capex announcements, earnings talk and geopolitical moves on US-China tech will be the next obvious catalysts.</w:t>
      </w:r>
      <w:r/>
      <w:r/>
    </w:p>
    <w:p>
      <w:pPr>
        <w:pStyle w:val="Heading2"/>
      </w:pPr>
      <w:r>
        <w:t>Why $805bn is a louder buy signal than it first looks</w:t>
      </w:r>
      <w:r/>
    </w:p>
    <w:p>
      <w:r/>
      <w:r>
        <w:t>The headline figure is arresting because it nearly doubles recent year-on-year levels and concentrates capital where it’s most visible: AI compute and data-centre expansion. That creates a distinct sensory image , thicker rows of servers, louder cooling systems and shipping manifests full of GPUs and custom silicon. According to Morgan Stanley commentary, the revision reflects companies preparing for sustained AI workloads and the need to be self-sufficient on compute. For investors and customers, that suggests capacity growth that could underwrite product rollouts and lower latency for AI services.</w:t>
      </w:r>
      <w:r/>
    </w:p>
    <w:p>
      <w:pPr>
        <w:pStyle w:val="Heading2"/>
      </w:pPr>
      <w:r>
        <w:t>How this ties into tech-policy and the chip story</w:t>
      </w:r>
      <w:r/>
    </w:p>
    <w:p>
      <w:r/>
      <w:r>
        <w:t>Spending on compute doesn’t happen in a vacuum. The CHIPS and Science Act and other US policy moves are nudging semiconductor investment onto domestic soil, which in turn makes hyperscalers more willing to lock in partnerships and long-term orders. That means capex isn’t just racks and power; it’s also deals with fabs and power projects to feed denser hardware. So if you’re tracking where the money lands, follow the fab announcements and energy investments as closely as the server orders.</w:t>
      </w:r>
      <w:r/>
    </w:p>
    <w:p>
      <w:pPr>
        <w:pStyle w:val="Heading2"/>
      </w:pPr>
      <w:r>
        <w:t>Who benefits , why markets are cheering Microsoft and Meta differently</w:t>
      </w:r>
      <w:r/>
    </w:p>
    <w:p>
      <w:r/>
      <w:r>
        <w:t>Markets are pricing nuanced outcomes: Microsoft is seen as a principal beneficiary of broader AI infrastructure, but current prediction markets put its chance of being the biggest company by December 2026 at a modest probability. Meta, by contrast, has very aggressive market pricing around a specific price target, reflecting investor conviction in its AI investments. The difference boils down to product mix, monetisation pathways and investor storytelling , Microsoft’s cloud and enterprise exposure versus Meta’s ad-revenue-plus-AI play. For portfolio-minded readers, that means distinguishing durable infrastructure value from headline-grabbing growth narratives.</w:t>
      </w:r>
      <w:r/>
    </w:p>
    <w:p>
      <w:pPr>
        <w:pStyle w:val="Heading2"/>
      </w:pPr>
      <w:r>
        <w:t>Practical tips for investors and customers watching capex rollouts</w:t>
      </w:r>
      <w:r/>
    </w:p>
    <w:p>
      <w:r/>
      <w:r>
        <w:t>If you want to read the tea leaves, start with company-level capex disclosures and the pace of server and GPU orders reported in earnings calls. Watch for concrete signs , land purchases for data centres, power deals, or long-term chip supply agreements , rather than vague promises. For customers, larger capex can mean better service reliability and geographic expansion; for investors, it’s about timing: capex often precedes revenue gains, so patience matters. And if you care about risk, don’t ignore geopolitical exposures and the supply chain pinch points that could delay deployments.</w:t>
      </w:r>
      <w:r/>
    </w:p>
    <w:p>
      <w:pPr>
        <w:pStyle w:val="Heading2"/>
      </w:pPr>
      <w:r>
        <w:t>What could derail the momentum , and what to watch next</w:t>
      </w:r>
      <w:r/>
    </w:p>
    <w:p>
      <w:r/>
      <w:r>
        <w:t>The obvious risks are policy shocks, a cooling macroeconomy that tightens corporate budgets, or prolonged US-China frictions that complicate supply chains. Analysts will also be scanning energy markets, since denser compute needs more power and cooling, and that’s where Morgan Stanley’s energy outlook pieces come into play. Keep an eye on quarterly revisions to capex plans and any comments at tech conferences where CEOs and CFOs detail hardware priorities; these are the moments plans become commitments.</w:t>
      </w:r>
      <w:r/>
    </w:p>
    <w:p>
      <w:r/>
      <w:r>
        <w:t>It's a big, loud bet on AI infrastructure , and one small shift in policy or supply can change the tune.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https://bitcoinethereumnews.com/tech/morgan-stanley-ups-tech-giants-capex-forecast-to-805b-for-2026/?utm_source=rss&amp;utm_medium=rss&amp;utm_campaign=morgan-stanley-ups-tech-giants-capex-forecast-to-805b-for-2026</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https://www.tomshardware.com/tech-industry/big-tech/big-techs-ai-spending-plans-reach-725-billion</w:t>
        </w:r>
      </w:hyperlink>
      <w:r>
        <w:t xml:space="preserve"> - In 2026, capital expenditures (capex) by tech giants Google (Alphabet), Microsoft, Meta, and Amazon are projected to reach $725 billion, a 77% increase from the previous year's $410 billion. This surge is driven by AI infrastructure demands and rising memory chip prices. Google led in performance, posting a 63% year-over-year increase in Google Cloud revenue to $20 billion and an 81% rise in net income to $62.6 billion. Alphabet's capex is projected to climb to $190 billion, equal to Microsoft's, with a notable $460 billion cloud contract backlog. Microsoft upped its 2026 capex projection to $190 billion, attributing $25 billion of the increase to hardware costs, while warning of ongoing capacity constraints. Meta raised its forecast to over $145 billion, fueled by inflation in component prices and infrastructure competition. Despite 33% revenue growth to $56.3 billion, investors expressed concern about Meta's shift towards capital-intensive operations. Amazon Web Services and Microsoft's cloud platform also saw significant revenue gains. Analyst Brent Thill affirmed confidence in AI-driven spending, calling skepticism 'garbage,' while investor concerns remain centered on whether such heavy investments will yield sustainable long-term returns.</w:t>
      </w:r>
      <w:r/>
    </w:p>
    <w:p>
      <w:pPr>
        <w:pStyle w:val="ListNumber"/>
        <w:spacing w:line="240" w:lineRule="auto"/>
        <w:ind w:left="720"/>
      </w:pPr>
      <w:r/>
      <w:hyperlink r:id="rId11">
        <w:r>
          <w:rPr>
            <w:color w:val="0000EE"/>
            <w:u w:val="single"/>
          </w:rPr>
          <w:t>https://www.morganstanley.com/insights/articles/magnificent-seven-rotation-portfolio-strategies-2026</w:t>
        </w:r>
      </w:hyperlink>
      <w:r>
        <w:t xml:space="preserve"> - Morgan Stanley's analysis highlights that despite positive economic and earnings data, markets remain stagnant, seeking evidence that massive AI capital expenditures will translate into durable returns. This uncertainty has led to a rotation away from mega-cap tech stocks towards a broader set of equities. The firm suggests investors focus on companies likely to meet earnings targets, consider taking profits in small-cap and speculative stocks, and broaden exposure to AI adopters in select sectors. The report emphasizes the need for clear proof of returns before awarding higher valuations to companies driving AI investments.</w:t>
      </w:r>
      <w:r/>
    </w:p>
    <w:p>
      <w:pPr>
        <w:pStyle w:val="ListNumber"/>
        <w:spacing w:line="240" w:lineRule="auto"/>
        <w:ind w:left="720"/>
      </w:pPr>
      <w:r/>
      <w:hyperlink r:id="rId14">
        <w:r>
          <w:rPr>
            <w:color w:val="0000EE"/>
            <w:u w:val="single"/>
          </w:rPr>
          <w:t>https://www.morganstanley.com/insights/articles/microsoft-ceo-satya-nadella-ai-capex-tmt-conference</w:t>
        </w:r>
      </w:hyperlink>
      <w:r>
        <w:t xml:space="preserve"> - Microsoft CEO Satya Nadella discussed the unprecedented surge in AI infrastructure spending across the technology sector, viewing it as a long-term investment that can generate strong returns by leveraging software. He highlighted that the current wave of investment spans data centers, networking, compute, and storage, representing a full upgrade of the global tech stack. Nadella emphasized the importance of managing a capital-intensive business using software to optimize total cost of ownership and utilization, aiming to achieve great returns on invested capital. Morgan Stanley data indicates that major technology companies, including Microsoft, have announced over $700 billion in capital expenditures for 2026, a 69% increase from 2025.</w:t>
      </w:r>
      <w:r/>
    </w:p>
    <w:p>
      <w:pPr>
        <w:pStyle w:val="ListNumber"/>
        <w:spacing w:line="240" w:lineRule="auto"/>
        <w:ind w:left="720"/>
      </w:pPr>
      <w:r/>
      <w:hyperlink r:id="rId13">
        <w:r>
          <w:rPr>
            <w:color w:val="0000EE"/>
            <w:u w:val="single"/>
          </w:rPr>
          <w:t>https://www.morganstanley.com/insights/articles/ai-market-trends-institute-2026</w:t>
        </w:r>
      </w:hyperlink>
      <w:r>
        <w:t xml:space="preserve"> - Morgan Stanley's report underscores that AI has evolved from a tech theme to a macroeconomic variable influencing GDP, earnings, credit markets, and geopolitics at an industrial scale. With nearly $3 trillion in infrastructure spending projected through 2028, AI is becoming a central force in economic expansion. The report notes that 21% of S&amp;P 500 companies now cite AI benefits, with adopters delivering cash flow margin expansion at roughly twice the global average. It also highlights the U.S.-China competition across chips, compute, energy, and data, elevating the strategic premium on secure domestic infrastructure.</w:t>
      </w:r>
      <w:r/>
    </w:p>
    <w:p>
      <w:pPr>
        <w:pStyle w:val="ListNumber"/>
        <w:spacing w:line="240" w:lineRule="auto"/>
        <w:ind w:left="720"/>
      </w:pPr>
      <w:r/>
      <w:hyperlink r:id="rId12">
        <w:r>
          <w:rPr>
            <w:color w:val="0000EE"/>
            <w:u w:val="single"/>
          </w:rPr>
          <w:t>https://www.morganstanley.com/insights/articles/powering-ai-energy-market-outlook-2026</w:t>
        </w:r>
      </w:hyperlink>
      <w:r>
        <w:t xml:space="preserve"> - Morgan Stanley's analysis indicates that strategic financing is crucial for data centers, with growth reliant on the robust balance sheets of mega-cap hyperscalers who can finance about half of their spending through their own cash flows. Debt markets are expected to play a significant role in covering the other half, as these companies are highly rated in the credit markets and can leverage their capital to fund growth. The report also discusses the risks and opportunities in the power industry, noting that data center operators risk power shortages, especially over the next two years as their demand for energy surpasses supply.</w:t>
      </w:r>
      <w:r/>
    </w:p>
    <w:p>
      <w:pPr>
        <w:pStyle w:val="ListNumber"/>
        <w:spacing w:line="240" w:lineRule="auto"/>
        <w:ind w:left="720"/>
      </w:pPr>
      <w:r/>
      <w:hyperlink r:id="rId15">
        <w:r>
          <w:rPr>
            <w:color w:val="0000EE"/>
            <w:u w:val="single"/>
          </w:rPr>
          <w:t>https://www.streetinsider.com/dr/news.php?id=26066106</w:t>
        </w:r>
      </w:hyperlink>
      <w:r>
        <w:t xml:space="preserve"> - Morgan Stanley anticipates that hyperscaler AI investment will enter a new era, with capital-intensity metrics forecasted to exceed levels last seen during the dot-com boom. Analyst Todd Castagno noted that spending plans have accelerated sharply while revenue expectations have not kept pace. Hyperscalers' cash capex-to-sales ratios are set to surpass the approximately 32% recorded during the dot-com era, reaching 34%, 39%, and 37% in 2026-2028. The report highlights that hyperscalers are expected to drive about 40% of total Russell 1000 cash capex over 2026-2028, representing more than $2 trillion.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ethereumnews.com/tech/morgan-stanley-ups-tech-giants-capex-forecast-to-805b-for-2026/?utm_source=rss&amp;utm_medium=rss&amp;utm_campaign=morgan-stanley-ups-tech-giants-capex-forecast-to-805b-for-2026" TargetMode="External"/><Relationship Id="rId10" Type="http://schemas.openxmlformats.org/officeDocument/2006/relationships/hyperlink" Target="https://www.tomshardware.com/tech-industry/big-tech/big-techs-ai-spending-plans-reach-725-billion" TargetMode="External"/><Relationship Id="rId11" Type="http://schemas.openxmlformats.org/officeDocument/2006/relationships/hyperlink" Target="https://www.morganstanley.com/insights/articles/magnificent-seven-rotation-portfolio-strategies-2026" TargetMode="External"/><Relationship Id="rId12" Type="http://schemas.openxmlformats.org/officeDocument/2006/relationships/hyperlink" Target="https://www.morganstanley.com/insights/articles/powering-ai-energy-market-outlook-2026" TargetMode="External"/><Relationship Id="rId13" Type="http://schemas.openxmlformats.org/officeDocument/2006/relationships/hyperlink" Target="https://www.morganstanley.com/insights/articles/ai-market-trends-institute-2026" TargetMode="External"/><Relationship Id="rId14" Type="http://schemas.openxmlformats.org/officeDocument/2006/relationships/hyperlink" Target="https://www.morganstanley.com/insights/articles/microsoft-ceo-satya-nadella-ai-capex-tmt-conference" TargetMode="External"/><Relationship Id="rId15" Type="http://schemas.openxmlformats.org/officeDocument/2006/relationships/hyperlink" Target="https://www.streetinsider.com/dr/news.php?id=26066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