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API Strategies for the Agent-Native Era: How to Build Products That Scale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agent-native APIs as AI moves from chat to action , product managers, engineers and data owners need practical steps to turn models into reliable products that scale, integrate and monetise in a world where compute is cheaper and licensed data matters.</w:t>
      </w:r>
      <w:r/>
    </w:p>
    <w:p>
      <w:r/>
      <w:r>
        <w:t>Essential Takeaways</w:t>
      </w:r>
      <w:r/>
      <w:r/>
    </w:p>
    <w:p>
      <w:pPr>
        <w:pStyle w:val="ListBullet"/>
        <w:spacing w:line="240" w:lineRule="auto"/>
        <w:ind w:left="720"/>
      </w:pPr>
      <w:r/>
      <w:r>
        <w:rPr>
          <w:b/>
        </w:rPr>
        <w:t>Three pillars:</w:t>
      </w:r>
      <w:r>
        <w:t xml:space="preserve"> cheaper compute, licensed data streams, and new interoperability standards are driving agent-native API design. </w:t>
      </w:r>
      <w:r/>
    </w:p>
    <w:p>
      <w:pPr>
        <w:pStyle w:val="ListBullet"/>
        <w:spacing w:line="240" w:lineRule="auto"/>
        <w:ind w:left="720"/>
      </w:pPr>
      <w:r/>
      <w:r>
        <w:rPr>
          <w:b/>
        </w:rPr>
        <w:t>Price pressure matters:</w:t>
      </w:r>
      <w:r>
        <w:t xml:space="preserve"> frontier model token costs have dropped sharply, shifting value to data and integration infrastructure. </w:t>
      </w:r>
      <w:r/>
    </w:p>
    <w:p>
      <w:pPr>
        <w:pStyle w:val="ListBullet"/>
        <w:spacing w:line="240" w:lineRule="auto"/>
        <w:ind w:left="720"/>
      </w:pPr>
      <w:r/>
      <w:r>
        <w:rPr>
          <w:b/>
        </w:rPr>
        <w:t>Data is premium:</w:t>
      </w:r>
      <w:r>
        <w:t xml:space="preserve"> businesses are moving from scraping to licensed, high-quality datasets served via APIs. </w:t>
      </w:r>
      <w:r/>
    </w:p>
    <w:p>
      <w:pPr>
        <w:pStyle w:val="ListBullet"/>
        <w:spacing w:line="240" w:lineRule="auto"/>
        <w:ind w:left="720"/>
      </w:pPr>
      <w:r/>
      <w:r>
        <w:rPr>
          <w:b/>
        </w:rPr>
        <w:t>Integration wins:</w:t>
      </w:r>
      <w:r>
        <w:t xml:space="preserve"> iPaaS and API management platforms are becoming strategic, not just plumbing , they activate data for agents. </w:t>
      </w:r>
      <w:r/>
    </w:p>
    <w:p>
      <w:pPr>
        <w:pStyle w:val="ListBullet"/>
        <w:spacing w:line="240" w:lineRule="auto"/>
        <w:ind w:left="720"/>
      </w:pPr>
      <w:r/>
      <w:r>
        <w:rPr>
          <w:b/>
        </w:rPr>
        <w:t>Practical move:</w:t>
      </w:r>
      <w:r>
        <w:t xml:space="preserve"> product teams must design for latency, auditability and monetisation to succeed with agent consumers.</w:t>
      </w:r>
      <w:r/>
      <w:r/>
    </w:p>
    <w:p>
      <w:pPr>
        <w:pStyle w:val="Heading2"/>
      </w:pPr>
      <w:r>
        <w:t>Why agent-native APIs matter now</w:t>
      </w:r>
      <w:r/>
    </w:p>
    <w:p>
      <w:r/>
      <w:r>
        <w:t>The biggest change this year is one you can feel: APIs are no longer just for humans clicking buttons, they’re the control plane for autonomous agents doing real work. That feels exciting , and a little unnerving , because agents demand speed, predictability and licensed inputs rather than noisy web-scraped text. As compute costs tumble, the bottleneck becomes high-quality data and the systems that serve it.</w:t>
      </w:r>
      <w:r/>
    </w:p>
    <w:p>
      <w:r/>
      <w:r>
        <w:t>Backstory shows this shift accelerating. Vendors are slashing model prices, token costs have collapsed in some places, and companies are investing heavily in GPU infra to meet sudden token demand surges. The implication is clear: the model is a commodity; the pipeline and data are the competitive moat. For product teams that means rethinking APIs as products for machines first, humans second.</w:t>
      </w:r>
      <w:r/>
    </w:p>
    <w:p>
      <w:r/>
      <w:r>
        <w:t>Practical tip: if you’re designing an API today, measure latency under continuous request patterns and prioritise deterministic responses , agents won’t tolerate surprises.</w:t>
      </w:r>
      <w:r/>
    </w:p>
    <w:p>
      <w:pPr>
        <w:pStyle w:val="Heading2"/>
      </w:pPr>
      <w:r>
        <w:t>Build the data layer like a product</w:t>
      </w:r>
      <w:r/>
    </w:p>
    <w:p>
      <w:r/>
      <w:r>
        <w:t>Licensed, verifiable data is becoming the premium asset. The era of grab-and-go web scraping is ending for any use that needs reliability or compliance; instead you’ll buy curated streams and embed them via API. Think of it as “Spotify for data” , subscription access to authoritative feeds such as case law, scientific datasets or vetted market signals.</w:t>
      </w:r>
      <w:r/>
    </w:p>
    <w:p>
      <w:r/>
      <w:r>
        <w:t>That change matters because agents will increasingly rely on these feeds to justify actions and pass audits. Product managers should treat provenance, licences and refresh cadence as first-class API features. Documenting metadata, timestamps and licence terms in every response will save painful compliance work later.</w:t>
      </w:r>
      <w:r/>
    </w:p>
    <w:p>
      <w:r/>
      <w:r>
        <w:t>Practical tip: expose provenance fields and a simple licensing endpoint so integrators can programmatically validate the data they consumed.</w:t>
      </w:r>
      <w:r/>
    </w:p>
    <w:p>
      <w:pPr>
        <w:pStyle w:val="Heading2"/>
      </w:pPr>
      <w:r>
        <w:t>Pricing and economics: why model cost drops change everything</w:t>
      </w:r>
      <w:r/>
    </w:p>
    <w:p>
      <w:r/>
      <w:r>
        <w:t>When token costs collapse, as we’ve seen with aggressive price cuts in some frontier models, the profitability equation flips. The raw model call becomes cheap; the cost and value shift to caching strategies, inference orchestration and the datasets that improve outcomes.</w:t>
      </w:r>
      <w:r/>
    </w:p>
    <w:p>
      <w:r/>
      <w:r>
        <w:t>That has two immediate product implications. First, offer usage tiers that reflect compute plus data costs separately, so customers see what they’re paying for. Second, invest in input caching and vector-store economics: small reductions in cache cost or retrieval latency compound across millions of agent calls.</w:t>
      </w:r>
      <w:r/>
    </w:p>
    <w:p>
      <w:r/>
      <w:r>
        <w:t>Practical tip: experiment with hybrid pricing , a low per-token fee paired with a data-access or retrieval fee , and monitor where customers hit volume inflection points.</w:t>
      </w:r>
      <w:r/>
    </w:p>
    <w:p>
      <w:pPr>
        <w:pStyle w:val="Heading2"/>
      </w:pPr>
      <w:r>
        <w:t>Integration platforms are the secret sauce</w:t>
      </w:r>
      <w:r/>
    </w:p>
    <w:p>
      <w:r/>
      <w:r>
        <w:t>Integration platforms are no longer just plumbing , they’re where data gets activated. When tools handle authentication, transformation, and event-driven enrichment, agents can act faster and with more confidence. That’s why established iPaaS vendors are winning recognition and why enterprises are wiring emissions APIs, payment processors, and network-level services into their workflows.</w:t>
      </w:r>
      <w:r/>
    </w:p>
    <w:p>
      <w:r/>
      <w:r>
        <w:t>For product teams that means partnerships and standards matter. Supporting ISO-style financial standards, network API specs, or domain-specific schemas can convert an API from useful to indispensable. Don’t treat connectors as an afterthought; they’re how your API becomes part of a larger, automated system.</w:t>
      </w:r>
      <w:r/>
    </w:p>
    <w:p>
      <w:r/>
      <w:r>
        <w:t>Practical tip: deliver a set of battle-tested connectors for the verticals you target, and version them clearly to avoid breakage when upstream systems change.</w:t>
      </w:r>
      <w:r/>
    </w:p>
    <w:p>
      <w:pPr>
        <w:pStyle w:val="Heading2"/>
      </w:pPr>
      <w:r>
        <w:t>Security, auditability and enterprise-ready features</w:t>
      </w:r>
      <w:r/>
    </w:p>
    <w:p>
      <w:r/>
      <w:r>
        <w:t>Agents acting on behalf of customers raise new security and audit questions. Enterprises want end-to-end traceability: which model answered what, which dataset informed the answer, and who authorised a particular action. That’s why audit trails, signed responses, and programmatic dispute APIs are moving from niche to mandatory.</w:t>
      </w:r>
      <w:r/>
    </w:p>
    <w:p>
      <w:r/>
      <w:r>
        <w:t>Design for observability from day one. Add request IDs that follow a transaction across services, include confidence or provenance scores in replies, and expose usage logs suitable for compliance reviews. These are the features that close deals in regulated industries like finance or insurance.</w:t>
      </w:r>
      <w:r/>
    </w:p>
    <w:p>
      <w:r/>
      <w:r>
        <w:t>Practical tip: surface audit and dispute endpoints in your public docs so customers can automate governance workflows without back-and-forth.</w:t>
      </w:r>
      <w:r/>
    </w:p>
    <w:p>
      <w:pPr>
        <w:pStyle w:val="Heading2"/>
      </w:pPr>
      <w:r>
        <w:t>How to prioritise features when building an API product</w:t>
      </w:r>
      <w:r/>
    </w:p>
    <w:p>
      <w:r/>
      <w:r>
        <w:t>Start with a narrow, slotted use case that maps directly to business value and instrument everything. Focus on resilience under load, clear SLAs, and a straightforward onboarding path. Then iterate: add licensed data integrations, caching controls, and monetisation primitives once you’ve proven demand.</w:t>
      </w:r>
      <w:r/>
    </w:p>
    <w:p>
      <w:r/>
      <w:r>
        <w:t>Product managers should also think about developer experience: good docs, SDKs, and interactive sandboxes speed adoption, but clever agent-targeted primitives , webhooks that honour agent sessions, skills to teach an agent how to call your API , will win long-term. And remember to price transparently so customers can predict costs as agents scale.</w:t>
      </w:r>
      <w:r/>
    </w:p>
    <w:p>
      <w:r/>
      <w:r>
        <w:t>Practical tip: create a “starter pack” offering that bundles a small data allowance, sample connectors, and priority support to accelerate pilot programs.</w:t>
      </w:r>
      <w:r/>
    </w:p>
    <w:p>
      <w:r/>
      <w:r>
        <w:t>It's a small change that can make every agent action safer and more valuable.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[3]</w:t>
        </w:r>
      </w:hyperlink>
      <w:r>
        <w:t xml:space="preserve">- Paragraph 3: </w:t>
      </w:r>
      <w:hyperlink r:id="rId13">
        <w:r>
          <w:rPr>
            <w:color w:val="0000EE"/>
            <w:u w:val="single"/>
          </w:rPr>
          <w:t>[2]</w:t>
        </w:r>
      </w:hyperlink>
      <w:r>
        <w:t xml:space="preserve">, </w:t>
      </w:r>
      <w:hyperlink r:id="rId14">
        <w:r>
          <w:rPr>
            <w:color w:val="0000EE"/>
            <w:u w:val="single"/>
          </w:rPr>
          <w:t>[4]</w:t>
        </w:r>
      </w:hyperlink>
      <w:r>
        <w:t xml:space="preserve">- Paragraph 4: </w:t>
      </w:r>
      <w:hyperlink r:id="rId10">
        <w:r>
          <w:rPr>
            <w:color w:val="0000EE"/>
            <w:u w:val="single"/>
          </w:rPr>
          <w:t>[3]</w:t>
        </w:r>
      </w:hyperlink>
      <w:r>
        <w:t xml:space="preserve">, </w:t>
      </w:r>
      <w:hyperlink r:id="rId11">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[5]</w:t>
        </w:r>
      </w:hyperlink>
      <w:r>
        <w:t xml:space="preserve">- Paragraph 6: </w:t>
      </w:r>
      <w:hyperlink r:id="rId14">
        <w:r>
          <w:rPr>
            <w:color w:val="0000EE"/>
            <w:u w:val="single"/>
          </w:rPr>
          <w:t>[4]</w:t>
        </w:r>
      </w:hyperlink>
      <w:r>
        <w:t xml:space="preserve">, </w:t>
      </w:r>
      <w:hyperlink r:id="rId13">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https://apichangelog.substack.com/p/2026-18</w:t>
        </w:r>
      </w:hyperlink>
      <w:r>
        <w:t xml:space="preserve"> - Please view link - unable to able to access data</w:t>
      </w:r>
      <w:r/>
    </w:p>
    <w:p>
      <w:pPr>
        <w:pStyle w:val="ListNumber"/>
        <w:spacing w:line="240" w:lineRule="auto"/>
        <w:ind w:left="720"/>
      </w:pPr>
      <w:r/>
      <w:hyperlink r:id="rId13">
        <w:r>
          <w:rPr>
            <w:color w:val="0000EE"/>
            <w:u w:val="single"/>
          </w:rPr>
          <w:t>https://books.apple.com/us/book/building-an-api-product/id6740343080</w:t>
        </w:r>
      </w:hyperlink>
      <w:r>
        <w:t xml:space="preserve"> - 'Building an API Product' by Bruno Pedro is a comprehensive guide aimed at product managers and non-technical individuals interested in developing API products. The book covers the entire API product lifecycle, from planning and implementation to release and maintenance, providing actionable techniques for creating, testing, and securing successful API products. It also discusses various monetization models and strategies to ensure APIs meet user needs and stand out in the market. (</w:t>
      </w:r>
      <w:hyperlink r:id="rId16">
        <w:r>
          <w:rPr>
            <w:color w:val="0000EE"/>
            <w:u w:val="single"/>
          </w:rPr>
          <w:t>books.apple.com</w:t>
        </w:r>
      </w:hyperlink>
      <w:r>
        <w:t>)</w:t>
      </w:r>
      <w:r/>
    </w:p>
    <w:p>
      <w:pPr>
        <w:pStyle w:val="ListNumber"/>
        <w:spacing w:line="240" w:lineRule="auto"/>
        <w:ind w:left="720"/>
      </w:pPr>
      <w:r/>
      <w:hyperlink r:id="rId10">
        <w:r>
          <w:rPr>
            <w:color w:val="0000EE"/>
            <w:u w:val="single"/>
          </w:rPr>
          <w:t>https://dataconomy.com/2026/04/27/deepseek-slashes-v4-pro-api-pricing-with-major-discount/</w:t>
        </w:r>
      </w:hyperlink>
      <w:r>
        <w:t xml:space="preserve"> - DeepSeek has announced significant price reductions for its V4-Pro API service, cutting input cache hit fees to one-tenth of their original price and offering a 75% limited-time discount on the V4-Pro model until May 5, 2026. The new promotional price for V4-Pro’s input cache hit is now 0.025 yuan, approximately $0.0036, per million tokens. This pricing strategy significantly undercuts Western competitors, whose output prices range from $12 to $25 per million tokens. (</w:t>
      </w:r>
      <w:hyperlink r:id="rId17">
        <w:r>
          <w:rPr>
            <w:color w:val="0000EE"/>
            <w:u w:val="single"/>
          </w:rPr>
          <w:t>dataconomy.com</w:t>
        </w:r>
      </w:hyperlink>
      <w:r>
        <w:t>)</w:t>
      </w:r>
      <w:r/>
    </w:p>
    <w:p>
      <w:pPr>
        <w:pStyle w:val="ListNumber"/>
        <w:spacing w:line="240" w:lineRule="auto"/>
        <w:ind w:left="720"/>
      </w:pPr>
      <w:r/>
      <w:hyperlink r:id="rId14">
        <w:r>
          <w:rPr>
            <w:color w:val="0000EE"/>
            <w:u w:val="single"/>
          </w:rPr>
          <w:t>https://www.oreilly.com/library/view/building-an-api/9781837630448/</w:t>
        </w:r>
      </w:hyperlink>
      <w:r>
        <w:t xml:space="preserve"> - 'Building an API Product' by Bruno Pedro is a detailed resource that guides readers through the process of designing, implementing, releasing, and maintaining API products that align with user needs. The book offers insights into the complete API product lifecycle, from planning to maintenance, and provides actionable techniques for developing, testing, and securing successful API products. It also explores various monetization models and strategies to ensure APIs meet user needs and stand out in the market. (</w:t>
      </w:r>
      <w:hyperlink r:id="rId18">
        <w:r>
          <w:rPr>
            <w:color w:val="0000EE"/>
            <w:u w:val="single"/>
          </w:rPr>
          <w:t>oreilly.com</w:t>
        </w:r>
      </w:hyperlink>
      <w:r>
        <w:t>)</w:t>
      </w:r>
      <w:r/>
    </w:p>
    <w:p>
      <w:pPr>
        <w:pStyle w:val="ListNumber"/>
        <w:spacing w:line="240" w:lineRule="auto"/>
        <w:ind w:left="720"/>
      </w:pPr>
      <w:r/>
      <w:hyperlink r:id="rId12">
        <w:r>
          <w:rPr>
            <w:color w:val="0000EE"/>
            <w:u w:val="single"/>
          </w:rPr>
          <w:t>https://www.knightli.com/en/2026/05/01/deepseek-v4-price-cuts-ai-agent-economics/</w:t>
        </w:r>
      </w:hyperlink>
      <w:r>
        <w:t xml:space="preserve"> - DeepSeek's recent price cuts for its V4-Pro model have significantly impacted the economics of AI agents. The promotional price for V4-Pro’s input cache hit is now $0.003625 per million tokens, with standard prices during the promotional period set at $0.435 for input and $0.87 for output per million tokens. This pricing strategy makes the token cost of many tasks 'insensitive', allowing developers to reduce costs without worrying about context size or tool usage, provided the cache hit rate is high enough. (</w:t>
      </w:r>
      <w:hyperlink r:id="rId19">
        <w:r>
          <w:rPr>
            <w:color w:val="0000EE"/>
            <w:u w:val="single"/>
          </w:rPr>
          <w:t>knightli.com</w:t>
        </w:r>
      </w:hyperlink>
      <w:r>
        <w:t>)</w:t>
      </w:r>
      <w:r/>
    </w:p>
    <w:p>
      <w:pPr>
        <w:pStyle w:val="ListNumber"/>
        <w:spacing w:line="240" w:lineRule="auto"/>
        <w:ind w:left="720"/>
      </w:pPr>
      <w:r/>
      <w:hyperlink r:id="rId11">
        <w:r>
          <w:rPr>
            <w:color w:val="0000EE"/>
            <w:u w:val="single"/>
          </w:rPr>
          <w:t>https://www.implicator.ai/deepseek-releases-v4-pro-and-flash-undercutting-openai-pricing-by-up-to-10x/</w:t>
        </w:r>
      </w:hyperlink>
      <w:r>
        <w:t xml:space="preserve"> - DeepSeek has released preview versions of its V4-Pro and V4-Flash models, priced significantly lower than comparable US frontier systems. V4-Pro charges $1.74 per million input tokens and $3.48 per million output tokens, while V4-Flash charges $0.14 and $0.28, respectively. These models are open-source Mixture-of-Experts models with a 1-million-token context window, and they ship about 15 months after DeepSeek's R1 release. Huawei has announced same-day compatibility with its Ascend 950 supernode for these models. (</w:t>
      </w:r>
      <w:hyperlink r:id="rId20">
        <w:r>
          <w:rPr>
            <w:color w:val="0000EE"/>
            <w:u w:val="single"/>
          </w:rPr>
          <w:t>implicator.ai</w:t>
        </w:r>
      </w:hyperlink>
      <w:r>
        <w:t>)</w:t>
      </w:r>
      <w:r/>
    </w:p>
    <w:p>
      <w:pPr>
        <w:pStyle w:val="ListNumber"/>
        <w:spacing w:line="240" w:lineRule="auto"/>
        <w:ind w:left="720"/>
      </w:pPr>
      <w:r/>
      <w:hyperlink r:id="rId15">
        <w:r>
          <w:rPr>
            <w:color w:val="0000EE"/>
            <w:u w:val="single"/>
          </w:rPr>
          <w:t>https://www.tomshardware.com/tech-industry/artificial-intelligence/deepseek-launches-1-6-trillion-parameter-v4-on-huawei-chips-as-u-s-escalates-ai-theft-accusations</w:t>
        </w:r>
      </w:hyperlink>
      <w:r>
        <w:t xml:space="preserve"> - DeepSeek, a Chinese AI startup, has launched its most advanced large language model to date—the 1.6 trillion parameter V4—optimized for Huawei's Ascend AI processors. This marks a significant shift from reliance on Nvidia GPUs and demonstrates China’s growing AI self-sufficiency. The V4 model features a 1-million-token context window and comes in two versions: V4-Pro ($3.48 per million output tokens) and the lighter V4-Flash ($0.28). The launch coincides with escalating U.S. allegations of intellectual property theft by DeepSeek and other Chinese AI firms. (</w:t>
      </w:r>
      <w:hyperlink r:id="rId21">
        <w:r>
          <w:rPr>
            <w:color w:val="0000EE"/>
            <w:u w:val="single"/>
          </w:rPr>
          <w:t>tomshardware.com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ichangelog.substack.com/p/2026-18" TargetMode="External"/><Relationship Id="rId10" Type="http://schemas.openxmlformats.org/officeDocument/2006/relationships/hyperlink" Target="https://dataconomy.com/2026/04/27/deepseek-slashes-v4-pro-api-pricing-with-major-discount/" TargetMode="External"/><Relationship Id="rId11" Type="http://schemas.openxmlformats.org/officeDocument/2006/relationships/hyperlink" Target="https://www.implicator.ai/deepseek-releases-v4-pro-and-flash-undercutting-openai-pricing-by-up-to-10x/" TargetMode="External"/><Relationship Id="rId12" Type="http://schemas.openxmlformats.org/officeDocument/2006/relationships/hyperlink" Target="https://www.knightli.com/en/2026/05/01/deepseek-v4-price-cuts-ai-agent-economics/" TargetMode="External"/><Relationship Id="rId13" Type="http://schemas.openxmlformats.org/officeDocument/2006/relationships/hyperlink" Target="https://books.apple.com/us/book/building-an-api-product/id6740343080" TargetMode="External"/><Relationship Id="rId14" Type="http://schemas.openxmlformats.org/officeDocument/2006/relationships/hyperlink" Target="https://www.oreilly.com/library/view/building-an-api/9781837630448/" TargetMode="External"/><Relationship Id="rId15" Type="http://schemas.openxmlformats.org/officeDocument/2006/relationships/hyperlink" Target="https://www.tomshardware.com/tech-industry/artificial-intelligence/deepseek-launches-1-6-trillion-parameter-v4-on-huawei-chips-as-u-s-escalates-ai-theft-accusations" TargetMode="External"/><Relationship Id="rId16" Type="http://schemas.openxmlformats.org/officeDocument/2006/relationships/hyperlink" Target="https://books.apple.com/us/book/building-an-api-product/id6740343080?utm_source=openai" TargetMode="External"/><Relationship Id="rId17" Type="http://schemas.openxmlformats.org/officeDocument/2006/relationships/hyperlink" Target="https://dataconomy.com/2026/04/27/deepseek-slashes-v4-pro-api-pricing-with-major-discount/?utm_source=openai" TargetMode="External"/><Relationship Id="rId18" Type="http://schemas.openxmlformats.org/officeDocument/2006/relationships/hyperlink" Target="https://www.oreilly.com/library/view/building-an-api/9781837630448/?utm_source=openai" TargetMode="External"/><Relationship Id="rId19" Type="http://schemas.openxmlformats.org/officeDocument/2006/relationships/hyperlink" Target="https://www.knightli.com/en/2026/05/01/deepseek-v4-price-cuts-ai-agent-economics/?utm_source=openai" TargetMode="External"/><Relationship Id="rId20" Type="http://schemas.openxmlformats.org/officeDocument/2006/relationships/hyperlink" Target="https://www.implicator.ai/deepseek-releases-v4-pro-and-flash-undercutting-openai-pricing-by-up-to-10x/?utm_source=openai" TargetMode="External"/><Relationship Id="rId21" Type="http://schemas.openxmlformats.org/officeDocument/2006/relationships/hyperlink" Target="https://www.tomshardware.com/tech-industry/artificial-intelligence/deepseek-launches-1-6-trillion-parameter-v4-on-huawei-chips-as-us-escalates-ai-theft-accus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