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Scaling Connected Health After the 2026 FDA Regulatory Pivot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the change: regulators reshaped the playing field for digital health in January 2026, and product teams, QA leads and start-ups in the San Francisco Bay Area are scrambling to turn policy into practice. This guide explains who wins, what’s different, and how to build a pragmatic roadmap to scale connected health products under the new FDA approach.</w:t>
      </w:r>
      <w:r/>
    </w:p>
    <w:p>
      <w:r/>
      <w:r>
        <w:t>Essential Takeaways</w:t>
      </w:r>
      <w:r/>
      <w:r/>
    </w:p>
    <w:p>
      <w:pPr>
        <w:pStyle w:val="ListBullet"/>
        <w:spacing w:line="240" w:lineRule="auto"/>
        <w:ind w:left="720"/>
      </w:pPr>
      <w:r/>
      <w:r>
        <w:rPr>
          <w:b/>
        </w:rPr>
        <w:t>Major shift:</w:t>
      </w:r>
      <w:r>
        <w:t xml:space="preserve"> The FDA tightened and clarified General Wellness and Clinical Decision Support (CDS) guidances in 2026, creating clearer boundaries and new enforcement discretion for many connected health products.</w:t>
      </w:r>
      <w:r/>
    </w:p>
    <w:p>
      <w:pPr>
        <w:pStyle w:val="ListBullet"/>
        <w:spacing w:line="240" w:lineRule="auto"/>
        <w:ind w:left="720"/>
      </w:pPr>
      <w:r/>
      <w:r>
        <w:rPr>
          <w:b/>
        </w:rPr>
        <w:t>Faster routes to market:</w:t>
      </w:r>
      <w:r>
        <w:t xml:space="preserve"> Predetermined Change Control Plans (PCCPs) and updated exemptions let software-driven devices iterate more quickly without repeated submissions, if managed properly.</w:t>
      </w:r>
      <w:r/>
    </w:p>
    <w:p>
      <w:pPr>
        <w:pStyle w:val="ListBullet"/>
        <w:spacing w:line="240" w:lineRule="auto"/>
        <w:ind w:left="720"/>
      </w:pPr>
      <w:r/>
      <w:r>
        <w:rPr>
          <w:b/>
        </w:rPr>
        <w:t>Risk ladder:</w:t>
      </w:r>
      <w:r>
        <w:t xml:space="preserve"> Moving from low-risk data collection to clinical diagnostics now requires explicit use-case framing and stronger data validation at each step.</w:t>
      </w:r>
      <w:r/>
    </w:p>
    <w:p>
      <w:pPr>
        <w:pStyle w:val="ListBullet"/>
        <w:spacing w:line="240" w:lineRule="auto"/>
        <w:ind w:left="720"/>
      </w:pPr>
      <w:r/>
      <w:r>
        <w:rPr>
          <w:b/>
        </w:rPr>
        <w:t>Practical focus:</w:t>
      </w:r>
      <w:r>
        <w:t xml:space="preserve"> Regulatory, RA/QA and product teams must jointly map the “wellness vs medical” boundary to avoid enforcement surprises and protect commercial cadence.</w:t>
      </w:r>
      <w:r/>
    </w:p>
    <w:p>
      <w:pPr>
        <w:pStyle w:val="ListBullet"/>
        <w:spacing w:line="240" w:lineRule="auto"/>
        <w:ind w:left="720"/>
      </w:pPr>
      <w:r/>
      <w:r>
        <w:rPr>
          <w:b/>
        </w:rPr>
        <w:t>Operational tip:</w:t>
      </w:r>
      <w:r>
        <w:t xml:space="preserve"> Start building lifecycle and data strategies now , think PCCPs, traceable verification and a clear claims playbook , not after your first post-market change.</w:t>
      </w:r>
      <w:r/>
      <w:r/>
    </w:p>
    <w:p>
      <w:pPr>
        <w:pStyle w:val="Heading2"/>
      </w:pPr>
      <w:r>
        <w:t>Why the 2026 FDA updates matter , and they feel different at product level</w:t>
      </w:r>
      <w:r/>
    </w:p>
    <w:p>
      <w:r/>
      <w:r>
        <w:t>The change isn’t just legalese; it alters day-to-day decisions about feature sets, claims and compliance budgets. According to the updated FDA guidances, companies can expect more predictable discretion around general wellness products and CDS tools. That means features that used to live in a grey zone , basic analytics, notifications, non-prescriptive insights , can often ship faster, while anything edging toward diagnosis or treatment needs stronger justification. For teams that have lived in perpetual premarket limbo, the new tone is a relief, but it comes with clearer lines you must respect.</w:t>
      </w:r>
      <w:r/>
    </w:p>
    <w:p>
      <w:pPr>
        <w:pStyle w:val="Heading2"/>
      </w:pPr>
      <w:r>
        <w:t>From wellness to medical: a staged strategy you can operationalise</w:t>
      </w:r>
      <w:r/>
    </w:p>
    <w:p>
      <w:r/>
      <w:r>
        <w:t>Product evolution is a ladder, not a leap. The regulator now expects firms to show how a product’s intended use grows with its capabilities. Start by documenting baseline, low-risk behaviour: what sensors collect, how data are displayed and what claims you make. Then define trigger points , when added model outputs, thresholds or decision prompts push you into a medical intended use. Practically, that means writing gating criteria into your roadmap so engineering, clinical and RA teams know when validation and submission needs escalate.</w:t>
      </w:r>
      <w:r/>
    </w:p>
    <w:p>
      <w:pPr>
        <w:pStyle w:val="Heading2"/>
      </w:pPr>
      <w:r>
        <w:t>PCCPs and lifecycle management , how to keep shipping without re-submissions</w:t>
      </w:r>
      <w:r/>
    </w:p>
    <w:p>
      <w:r/>
      <w:r>
        <w:t>One of the most useful tools in the new framework is the Predetermined Change Control Plan. PCCPs let regulators know, ahead of time, what classes of software changes you’ll make and how you’ll control them. Use PCCPs to codify testing, monitoring and rollback criteria for AI updates and sensor firmware tweaks. The trick is discipline: a well-scoped PCCP needs rigorous traceability, clear acceptance criteria and real-world performance monitoring, or you’ll lose the benefits and be back in full review cycles.</w:t>
      </w:r>
      <w:r/>
    </w:p>
    <w:p>
      <w:pPr>
        <w:pStyle w:val="Heading2"/>
      </w:pPr>
      <w:r>
        <w:t>Data-to-clinical bridge: evidence, validation and the real work of trust</w:t>
      </w:r>
      <w:r/>
    </w:p>
    <w:p>
      <w:r/>
      <w:r>
        <w:t>Regulators reiterate that moving to clinical claims requires data that proves safety and effectiveness in the intended context of use. That’s not just more data, it’s the right data: labelled clinical datasets, prospective validation and post-market performance metrics. Don’t wait until filing to run clinical studies; design validation into product sprints. Teams that pair robust telemetry with user-centred clinical endpoints will be best placed to justify higher-risk claims without long regulatory delays.</w:t>
      </w:r>
      <w:r/>
    </w:p>
    <w:p>
      <w:pPr>
        <w:pStyle w:val="Heading2"/>
      </w:pPr>
      <w:r>
        <w:t>Building the “clear lane”: RA/QA as strategic partners, not gatekeepers</w:t>
      </w:r>
      <w:r/>
    </w:p>
    <w:p>
      <w:r/>
      <w:r>
        <w:t>Interpretation of “wellness vs medical” will be your most valuable competitive asset. RA and QA leaders should co-own product roadmaps from the start, translating regulatory nuance into concrete do-and-don’t rules for PMs and engineers. Practically, create a living decision tree that maps claims, evidence requirements and PCCP coverage. When teams treat RA/QA as strategic partners, you get faster launches, fewer surprises and a culture that treats regulation as design input rather than late-stage friction.</w:t>
      </w:r>
      <w:r/>
    </w:p>
    <w:p>
      <w:r/>
      <w:r>
        <w:t>Closing line It’s a small operational shift with big upside: map the new boundaries, bake validation into the product lifecycle, and your connected health platform can scale faster and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[3]</w:t>
        </w:r>
      </w:hyperlink>
      <w:r>
        <w:t xml:space="preserve">- Paragraph 4: </w:t>
      </w:r>
      <w:hyperlink r:id="rId12">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https://www.raps.org/learn-develop/events/san-francisco-bay-area-chapter-in-person-event-beyond-the-red-tape-scaling-connected-health-in-2026.html</w:t>
        </w:r>
      </w:hyperlink>
      <w:r>
        <w:t xml:space="preserve"> - Please view link - unable to able to access data</w:t>
      </w:r>
      <w:r/>
    </w:p>
    <w:p>
      <w:pPr>
        <w:pStyle w:val="ListNumber"/>
        <w:spacing w:line="240" w:lineRule="auto"/>
        <w:ind w:left="720"/>
      </w:pPr>
      <w:r/>
      <w:hyperlink r:id="rId12">
        <w:r>
          <w:rPr>
            <w:color w:val="0000EE"/>
            <w:u w:val="single"/>
          </w:rPr>
          <w:t>https://www.fda.gov/media/90652/download</w:t>
        </w:r>
      </w:hyperlink>
      <w:r>
        <w:t xml:space="preserve"> - In January 2026, the FDA released updated guidance on 'General Wellness: Policy for Low Risk Devices', clarifying the agency's interpretation of section 520 of the Food, Drug, and Cosmetic Act. This guidance specifies that software intended for maintaining or encouraging a healthy lifestyle, unrelated to the diagnosis, cure, mitigation, prevention, or treatment of a disease or condition, is not considered a device under the law. It applies to low-risk 'general wellness products' designed to promote health or healthy activity, or to reduce the risk or impact of certain chronic conditions through healthy lifestyle choices. The document provides examples and outlines the criteria for determining whether a product falls under this category. (</w:t>
      </w:r>
      <w:hyperlink r:id="rId16">
        <w:r>
          <w:rPr>
            <w:color w:val="0000EE"/>
            <w:u w:val="single"/>
          </w:rPr>
          <w:t>aha.org</w:t>
        </w:r>
      </w:hyperlink>
      <w:r>
        <w:t>)</w:t>
      </w:r>
      <w:r/>
    </w:p>
    <w:p>
      <w:pPr>
        <w:pStyle w:val="ListNumber"/>
        <w:spacing w:line="240" w:lineRule="auto"/>
        <w:ind w:left="720"/>
      </w:pPr>
      <w:r/>
      <w:hyperlink r:id="rId13">
        <w:r>
          <w:rPr>
            <w:color w:val="0000EE"/>
            <w:u w:val="single"/>
          </w:rPr>
          <w:t>https://www.fda.gov/media/109618/download</w:t>
        </w:r>
      </w:hyperlink>
      <w:r>
        <w:t xml:space="preserve"> - The FDA's updated guidance on 'Clinical Decision Support Software', issued in January 2026, clarifies the agency's interpretation of section 520 of the Food, Drug, and Cosmetic Act. This guidance outlines the types of clinical decision support software functions that are excluded from the definition of a device by specific criteria. It provides examples of software functions considered non-device functions, medical device functions, and device functions subject to FDA enforcement discretion. The document aims to provide clarity on the regulatory status of various CDS software applications. (</w:t>
      </w:r>
      <w:hyperlink r:id="rId17">
        <w:r>
          <w:rPr>
            <w:color w:val="0000EE"/>
            <w:u w:val="single"/>
          </w:rPr>
          <w:t>fda.gov</w:t>
        </w:r>
      </w:hyperlink>
      <w:r>
        <w:t>)</w:t>
      </w:r>
      <w:r/>
    </w:p>
    <w:p>
      <w:pPr>
        <w:pStyle w:val="ListNumber"/>
        <w:spacing w:line="240" w:lineRule="auto"/>
        <w:ind w:left="720"/>
      </w:pPr>
      <w:r/>
      <w:hyperlink r:id="rId11">
        <w:r>
          <w:rPr>
            <w:color w:val="0000EE"/>
            <w:u w:val="single"/>
          </w:rPr>
          <w:t>https://www.fda.gov/medical-devices/digital-health-center-excellence/guidances-digital-health-content</w:t>
        </w:r>
      </w:hyperlink>
      <w:r>
        <w:t xml:space="preserve"> - The FDA maintains a list of guidance documents related to digital health, including those on 'Clinical Decision Support Software' and 'General Wellness: Policy for Low Risk Devices'. These documents provide clarity on the FDA's regulation of digital health products, outlining the agency's approach to various software functions and their classification as medical devices or non-devices. The guidance aims to assist developers, manufacturers, and healthcare professionals in understanding the regulatory landscape for digital health technologies. (</w:t>
      </w:r>
      <w:hyperlink r:id="rId18">
        <w:r>
          <w:rPr>
            <w:color w:val="0000EE"/>
            <w:u w:val="single"/>
          </w:rPr>
          <w:t>fda.gov</w:t>
        </w:r>
      </w:hyperlink>
      <w:r>
        <w:t>)</w:t>
      </w:r>
      <w:r/>
    </w:p>
    <w:p>
      <w:pPr>
        <w:pStyle w:val="ListNumber"/>
        <w:spacing w:line="240" w:lineRule="auto"/>
        <w:ind w:left="720"/>
      </w:pPr>
      <w:r/>
      <w:hyperlink r:id="rId14">
        <w:r>
          <w:rPr>
            <w:color w:val="0000EE"/>
            <w:u w:val="single"/>
          </w:rPr>
          <w:t>https://www.fda.gov/medical-devices/device-advice-comprehensive-regulatory-assistance/quality-and-compliance-medical-devices</w:t>
        </w:r>
      </w:hyperlink>
      <w:r>
        <w:t xml:space="preserve"> - The FDA's Quality Management System Regulation (QMSR), effective from February 2, 2026, amends the device current good manufacturing practice (CGMP) requirements of 21 CFR part 820. It incorporates the international standard ISO 13485:2016 for medical device quality management systems. The FDA has also updated its inspection process, moving away from the Quality System Inspection Technique (QSIT) to a new compliance program for medical device manufacturers. This change reflects the FDA's commitment to ensuring medical devices are safe and effective throughout their lifecycle. (</w:t>
      </w:r>
      <w:hyperlink r:id="rId19">
        <w:r>
          <w:rPr>
            <w:color w:val="0000EE"/>
            <w:u w:val="single"/>
          </w:rPr>
          <w:t>fda.gov</w:t>
        </w:r>
      </w:hyperlink>
      <w:r>
        <w:t>)</w:t>
      </w:r>
      <w:r/>
    </w:p>
    <w:p>
      <w:pPr>
        <w:pStyle w:val="ListNumber"/>
        <w:spacing w:line="240" w:lineRule="auto"/>
        <w:ind w:left="720"/>
      </w:pPr>
      <w:r/>
      <w:hyperlink r:id="rId10">
        <w:r>
          <w:rPr>
            <w:color w:val="0000EE"/>
            <w:u w:val="single"/>
          </w:rPr>
          <w:t>https://www.dlapiper.com/en-mx/insights/publications/2026/01/fda-updates-its-clinical-decision-support-and-general-wellness-guidances-key-points</w:t>
        </w:r>
      </w:hyperlink>
      <w:r>
        <w:t xml:space="preserve"> - In January 2026, the FDA issued revisions to its guidance documents on 'Clinical Decision Support Software' and 'General Wellness: Policy for Low Risk Devices'. These updates reflect the FDA's evolving regulatory approach to CDS and general wellness devices since the enactment of the 21st Century Cures Act in 2016. The revisions aim to provide greater clarity on the distinction between device and non-device functions, emphasizing factors influencing intended use and risk determinations. The guidance documents supersede prior versions from 2019 and 2022, respectively. (</w:t>
      </w:r>
      <w:hyperlink r:id="rId20">
        <w:r>
          <w:rPr>
            <w:color w:val="0000EE"/>
            <w:u w:val="single"/>
          </w:rPr>
          <w:t>dlapiper.com</w:t>
        </w:r>
      </w:hyperlink>
      <w:r>
        <w:t>)</w:t>
      </w:r>
      <w:r/>
    </w:p>
    <w:p>
      <w:pPr>
        <w:pStyle w:val="ListNumber"/>
        <w:spacing w:line="240" w:lineRule="auto"/>
        <w:ind w:left="720"/>
      </w:pPr>
      <w:r/>
      <w:hyperlink r:id="rId15">
        <w:r>
          <w:rPr>
            <w:color w:val="0000EE"/>
            <w:u w:val="single"/>
          </w:rPr>
          <w:t>https://www.kslaw.com/news-and-insights/fda-updates-general-wellness-and-clinical-decision-support-guidance-documents</w:t>
        </w:r>
      </w:hyperlink>
      <w:r>
        <w:t xml:space="preserve"> - On January 6, 2026, the FDA published revised, final versions of its guidance documents on 'General Wellness: Policy for Low Risk Devices' and 'Clinical Decision Support Software'. These updates clarify and expand the scope of enforcement discretion for certain product categories, including digital health products. The guidance documents provide new interpretive examples with practical consequences for digital health developers, device manufacturers, healthcare professionals, and health IT vendors. The revisions supersede prior versions from 2019 and 2022, respectively. (</w:t>
      </w:r>
      <w:hyperlink r:id="rId21">
        <w:r>
          <w:rPr>
            <w:color w:val="0000EE"/>
            <w:u w:val="single"/>
          </w:rPr>
          <w:t>kslaw.com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ps.org/learn-develop/events/san-francisco-bay-area-chapter-in-person-event-beyond-the-red-tape-scaling-connected-health-in-2026.html" TargetMode="External"/><Relationship Id="rId10" Type="http://schemas.openxmlformats.org/officeDocument/2006/relationships/hyperlink" Target="https://www.dlapiper.com/en-mx/insights/publications/2026/01/fda-updates-its-clinical-decision-support-and-general-wellness-guidances-key-points" TargetMode="External"/><Relationship Id="rId11" Type="http://schemas.openxmlformats.org/officeDocument/2006/relationships/hyperlink" Target="https://www.fda.gov/medical-devices/digital-health-center-excellence/guidances-digital-health-content" TargetMode="External"/><Relationship Id="rId12" Type="http://schemas.openxmlformats.org/officeDocument/2006/relationships/hyperlink" Target="https://www.fda.gov/media/90652/download" TargetMode="External"/><Relationship Id="rId13" Type="http://schemas.openxmlformats.org/officeDocument/2006/relationships/hyperlink" Target="https://www.fda.gov/media/109618/download" TargetMode="External"/><Relationship Id="rId14" Type="http://schemas.openxmlformats.org/officeDocument/2006/relationships/hyperlink" Target="https://www.fda.gov/medical-devices/device-advice-comprehensive-regulatory-assistance/quality-and-compliance-medical-devices" TargetMode="External"/><Relationship Id="rId15" Type="http://schemas.openxmlformats.org/officeDocument/2006/relationships/hyperlink" Target="https://www.kslaw.com/news-and-insights/fda-updates-general-wellness-and-clinical-decision-support-guidance-documents" TargetMode="External"/><Relationship Id="rId16" Type="http://schemas.openxmlformats.org/officeDocument/2006/relationships/hyperlink" Target="https://www.aha.org/news/headline/2026-01-06-fda-issues-guidance-wellness-products-clinical-decision-support-software?utm_source=openai" TargetMode="External"/><Relationship Id="rId17" Type="http://schemas.openxmlformats.org/officeDocument/2006/relationships/hyperlink" Target="https://www.fda.gov/medical-devices/medical-devices-news-and-events/town-hall-clinical-decision-support-software-final-guidance-03112026?utm_source=openai" TargetMode="External"/><Relationship Id="rId18" Type="http://schemas.openxmlformats.org/officeDocument/2006/relationships/hyperlink" Target="https://www.fda.gov/medical-devices/digital-health-center-excellence/guidances-digital-health-content?utm_source=openai" TargetMode="External"/><Relationship Id="rId19" Type="http://schemas.openxmlformats.org/officeDocument/2006/relationships/hyperlink" Target="https://www.fda.gov/medical-devices/device-advice-comprehensive-regulatory-assistance/quality-and-compliance-medical-devices?utm_source=openai" TargetMode="External"/><Relationship Id="rId20" Type="http://schemas.openxmlformats.org/officeDocument/2006/relationships/hyperlink" Target="https://www.dlapiper.com/en-mx/insights/publications/2026/01/fda-updates-its-clinical-decision-support-and-general-wellness-guidances-key-points?utm_source=openai" TargetMode="External"/><Relationship Id="rId21" Type="http://schemas.openxmlformats.org/officeDocument/2006/relationships/hyperlink" Target="https://www.kslaw.com/news-and-insights/fda-updates-general-wellness-and-clinical-decision-support-guidance-docum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