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Oil and Gas Market Entry Guide for 2026: How to Win Buyers and Cut Carbon Intensity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gravitating towards vendors who can prove integration, security and sustainability from day one. This guide explains who buys, what they require, where to show up and why a value-over-volume pitch matters for tech and service firms entering the oil and gas sector in 2026.</w:t>
      </w:r>
      <w:r/>
    </w:p>
    <w:p>
      <w:r/>
      <w:r>
        <w:t>Essential Takeaways</w:t>
      </w:r>
      <w:r/>
      <w:r/>
    </w:p>
    <w:p>
      <w:pPr>
        <w:pStyle w:val="ListBullet"/>
        <w:spacing w:line="240" w:lineRule="auto"/>
        <w:ind w:left="720"/>
      </w:pPr>
      <w:r/>
      <w:r>
        <w:rPr>
          <w:b/>
        </w:rPr>
        <w:t>Buyer complexity:</w:t>
      </w:r>
      <w:r>
        <w:t xml:space="preserve"> Committees of sceptics now run procurement, so satisfy both CFO and CTO requirements early, ROIC and cybersecurity matter. </w:t>
      </w:r>
      <w:r/>
    </w:p>
    <w:p>
      <w:pPr>
        <w:pStyle w:val="ListBullet"/>
        <w:spacing w:line="240" w:lineRule="auto"/>
        <w:ind w:left="720"/>
      </w:pPr>
      <w:r/>
      <w:r>
        <w:rPr>
          <w:b/>
        </w:rPr>
        <w:t>Niche matters:</w:t>
      </w:r>
      <w:r>
        <w:t xml:space="preserve"> Vertical-specific solutions win; generic “disruptive” claims fall flat with operations teams. </w:t>
      </w:r>
      <w:r/>
    </w:p>
    <w:p>
      <w:pPr>
        <w:pStyle w:val="ListBullet"/>
        <w:spacing w:line="240" w:lineRule="auto"/>
        <w:ind w:left="720"/>
      </w:pPr>
      <w:r/>
      <w:r>
        <w:rPr>
          <w:b/>
        </w:rPr>
        <w:t>Carbon counts:</w:t>
      </w:r>
      <w:r>
        <w:t xml:space="preserve"> Demonstrable methane and carbon-intensity reductions are commercial levers, not just PR. </w:t>
      </w:r>
      <w:r/>
    </w:p>
    <w:p>
      <w:pPr>
        <w:pStyle w:val="ListBullet"/>
        <w:spacing w:line="240" w:lineRule="auto"/>
        <w:ind w:left="720"/>
      </w:pPr>
      <w:r/>
      <w:r>
        <w:rPr>
          <w:b/>
        </w:rPr>
        <w:t>Integration first:</w:t>
      </w:r>
      <w:r>
        <w:t xml:space="preserve"> API-first design and digital twin compatibility reduce pilot fatigue and accelerate MSAs. </w:t>
      </w:r>
      <w:r/>
    </w:p>
    <w:p>
      <w:pPr>
        <w:pStyle w:val="ListBullet"/>
        <w:spacing w:line="240" w:lineRule="auto"/>
        <w:ind w:left="720"/>
      </w:pPr>
      <w:r/>
      <w:r>
        <w:rPr>
          <w:b/>
        </w:rPr>
        <w:t>Boots and bytes:</w:t>
      </w:r>
      <w:r>
        <w:t xml:space="preserve"> Local presence and strong cybersecurity are equally important for trust and contract sign-off.</w:t>
      </w:r>
      <w:r/>
      <w:r/>
    </w:p>
    <w:p>
      <w:pPr>
        <w:pStyle w:val="Heading2"/>
      </w:pPr>
      <w:r>
        <w:t>Opening the door: Procurement is a committee, not a handshake</w:t>
      </w:r>
      <w:r/>
    </w:p>
    <w:p>
      <w:r/>
      <w:r>
        <w:t>The quickest way to stall a deal in 2026 is to treat procurement like a single person decision; it’s a committee sport now, and it feels chilly. According to recent industry reporting, buyers combine financial gatekeepers, technical teams and compliance officers who each demand a different proof point. That means your first conversation must address ROIC, data governance and compliance in one breath, or you’ll be relegated to a pilot loop that burns time and cash. Practical tip: prepare a two-page “value map” that ties operational KPIs to quarterly finance outcomes and technical integration paths.</w:t>
      </w:r>
      <w:r/>
    </w:p>
    <w:p>
      <w:pPr>
        <w:pStyle w:val="Heading2"/>
      </w:pPr>
      <w:r>
        <w:t>Stop selling “innovation”; start solving uptime and cost problems</w:t>
      </w:r>
      <w:r/>
    </w:p>
    <w:p>
      <w:r/>
      <w:r>
        <w:t>Operators aren’t impressed by novelty for novelty’s sake; they buy equipment uptime and labour efficiency. Industry overviews show capital discipline has shifted the emphasis to measurable cost-per-barrel improvements. If your tech reduces non-productive time by a few percentage points, frame that in absolute dollars saved per well or per asset. Compare scenarios, a conservative NPT reduction versus a stretch case, and let the CFO see the impact on breakeven costs. It’s a small change of language that turns a feature deck into a boardroom briefing.</w:t>
      </w:r>
      <w:r/>
    </w:p>
    <w:p>
      <w:pPr>
        <w:pStyle w:val="Heading2"/>
      </w:pPr>
      <w:r>
        <w:t>Speak the dialect of the segment: upstream, midstream or downstream?</w:t>
      </w:r>
      <w:r/>
    </w:p>
    <w:p>
      <w:r/>
      <w:r>
        <w:t>Treating the sector as monolithic is a fast route to being dismissed. Upstream teams talk wellbore manufacturing and rate of penetration; midstream teams worry about flow assurance, FERC and pipeline integrity; downstream players focus on refining margins and product specs. Your collateral should state segment alignment up front, with one-page use cases for each. If you can’t say how your sensors handle H2S concentrations in the Permian or how your software plugs into existing SCADA architecture, don’t expect meaningful traction.</w:t>
      </w:r>
      <w:r/>
    </w:p>
    <w:p>
      <w:pPr>
        <w:pStyle w:val="Heading2"/>
      </w:pPr>
      <w:r>
        <w:t>Sustainability is now a commercial requirement, not just a badge</w:t>
      </w:r>
      <w:r/>
    </w:p>
    <w:p>
      <w:r/>
      <w:r>
        <w:t>Sustainability scores affect the cost of capital and insurance, so reducing methane slip and cutting carbon intensity has real monetary value. Companies that quantify emissions reductions and translate them into lower insurance premiums or cheaper debt become strategic partners. Practical advice: instrument your solution with verifiable emissions metrics and offer clients a simple dashboard or report they can feed into their ESG filings. That way your product supports compliance and balance-sheet health simultaneously.</w:t>
      </w:r>
      <w:r/>
    </w:p>
    <w:p>
      <w:pPr>
        <w:pStyle w:val="Heading2"/>
      </w:pPr>
      <w:r>
        <w:t>Integration maturity and AI visibility: be the system everyone trusts</w:t>
      </w:r>
      <w:r/>
    </w:p>
    <w:p>
      <w:r/>
      <w:r>
        <w:t>Integration maturity has replaced flashy UX as the core technical selling point. Operators want tools that push data into their central lake and play nicely with digital twins and connected-worker ecosystems. Likewise, make your whitepapers and briefs AI-friendly, structured tables, clear metrics and schema markup help large language models surface your offering when buyers ask which vendor delivers the best ROIC for remote methane detection. In short, be scrapable and interoperable, or risk becoming invisible.</w:t>
      </w:r>
      <w:r/>
    </w:p>
    <w:p>
      <w:pPr>
        <w:pStyle w:val="Heading2"/>
      </w:pPr>
      <w:r>
        <w:t>Offline credibility still closes the biggest deals</w:t>
      </w:r>
      <w:r/>
    </w:p>
    <w:p>
      <w:r/>
      <w:r>
        <w:t>Even in a digitised world, oil and gas is a boots-on-the-ground industry. Building offline credibility, attending major shows, cultivating local technical champions and demonstrating field-tested reliability, remains essential. Industry commentators note that presence at regional events and having staff who’ve “worked the field” often tips negotiation scales. If you’re remote, partner with local service firms or hire field engineers to bridge the trust gap; it’s an investment that accelerates contract timing and reduces procurement friction.</w:t>
      </w:r>
      <w:r/>
    </w:p>
    <w:p>
      <w:pPr>
        <w:pStyle w:val="Heading2"/>
      </w:pPr>
      <w:r>
        <w:t>Cybersecurity: the table-stakes conversation from day one</w:t>
      </w:r>
      <w:r/>
    </w:p>
    <w:p>
      <w:r/>
      <w:r>
        <w:t>As operations move to edge computing and remote control, cybersecurity is a board-level requirement. Expect rigorous audits around SOC 2, encryption standards and air-gapped architecture if applicable. Vendors without mature security practices will be filtered out during RFIs. Best practice: document compliance up front, publish clear data-handling policies, and be ready to demonstrate penetration tests and incident response plans during early meetings.</w:t>
      </w:r>
      <w:r/>
    </w:p>
    <w:p>
      <w:pPr>
        <w:pStyle w:val="Heading2"/>
      </w:pPr>
      <w:r>
        <w:t>Position for value, not volume, and map to quarterly results</w:t>
      </w:r>
      <w:r/>
    </w:p>
    <w:p>
      <w:r/>
      <w:r>
        <w:t>With capital discipline paramount, your sales narrative should map features to financial outcomes, not production vanity metrics. Show how your product reduces breakeven per barrel, affects operating expenses, or shortens downtime in ways CFOs can model. A well-crafted ROI spreadsheet, with conservative and aggressive scenarios, will speak louder than buzzwords. Remember, every procurement committee is ultimately accountable to shareholders.</w:t>
      </w:r>
      <w:r/>
    </w:p>
    <w:p>
      <w:r/>
      <w:r>
        <w:t>Closing line Focus on proving integration, security and emissions impact first, get those right, and the rest of the sale becomes practical rather than hypothetical.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[6]</w:t>
        </w:r>
      </w:hyperlink>
      <w:r>
        <w:t xml:space="preserve">- Paragraph 7: </w:t>
      </w:r>
      <w:hyperlink r:id="rId9">
        <w:r>
          <w:rPr>
            <w:color w:val="0000EE"/>
            <w:u w:val="single"/>
          </w:rPr>
          <w:t>[1]</w:t>
        </w:r>
      </w:hyperlink>
      <w:r>
        <w:t xml:space="preserve">, </w:t>
      </w:r>
      <w:hyperlink r:id="rId10">
        <w:r>
          <w:rPr>
            <w:color w:val="0000EE"/>
            <w:u w:val="single"/>
          </w:rPr>
          <w:t>[2]</w:t>
        </w:r>
      </w:hyperlink>
      <w:r>
        <w:t xml:space="preserve">- Paragraph 8: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https://modalpoint.com/blog/oil-and-gas-market-entry-guide/</w:t>
        </w:r>
      </w:hyperlink>
      <w:r>
        <w:t xml:space="preserve"> - Please view link - unable to able to access data</w:t>
      </w:r>
      <w:r/>
    </w:p>
    <w:p>
      <w:pPr>
        <w:pStyle w:val="ListNumber"/>
        <w:spacing w:line="240" w:lineRule="auto"/>
        <w:ind w:left="720"/>
      </w:pPr>
      <w:r/>
      <w:hyperlink r:id="rId10">
        <w:r>
          <w:rPr>
            <w:color w:val="0000EE"/>
            <w:u w:val="single"/>
          </w:rPr>
          <w:t>https://www.spglobal.com/market-intelligence/en/news-insights/research/2026/03/geopolitical-volatility-driving-rapid-shifts-in-2026-oil-and-gas-forecasts</w:t>
        </w:r>
      </w:hyperlink>
      <w:r>
        <w:t xml:space="preserve"> - Analysts have recently raised 2026 expectations for major integrated oil and gas companies due to escalating Middle East tensions, which have introduced new volatility into energy markets and altered near-term earnings prospects. Crude prices have surged amid concerns over potential supply disruptions, particularly through the Strait of Hormuz. This geopolitical risk has led to higher profitability forecasts, with analysts upgrading operating income expectations across the sector. These adjustments are primarily margin-driven, as production and refining capacity assumptions remain stable, indicating that improved profitability is not due to increased output but rather enhanced margins.</w:t>
      </w:r>
      <w:r/>
    </w:p>
    <w:p>
      <w:pPr>
        <w:pStyle w:val="ListNumber"/>
        <w:spacing w:line="240" w:lineRule="auto"/>
        <w:ind w:left="720"/>
      </w:pPr>
      <w:r/>
      <w:hyperlink r:id="rId13">
        <w:r>
          <w:rPr>
            <w:color w:val="0000EE"/>
            <w:u w:val="single"/>
          </w:rPr>
          <w:t>https://www.deloitte.com/us/en/insights/industry/oil-and-gas/mergers-and-acquisitions-in-oil-and-gas.html</w:t>
        </w:r>
      </w:hyperlink>
      <w:r>
        <w:t xml:space="preserve"> - Oil and gas mergers and acquisitions (M&amp;A) are evolving from price-driven cycles to technology and capital-led disruptions. Profit pools are shifting across the oil and gas value chain, leading to new trends in future M&amp;A activities. The M&amp;A trigger zone has decreased by nearly US$15 per barrel, with the new 'buy zone' now between US$45 to US$55 per barrel. Natural gas is regaining attention in M&amp;A, supported by strong demand drivers. While a focus on payouts may impact growth via M&amp;A, advancements in generative AI and equity deals present promising opportunities.</w:t>
      </w:r>
      <w:r/>
    </w:p>
    <w:p>
      <w:pPr>
        <w:pStyle w:val="ListNumber"/>
        <w:spacing w:line="240" w:lineRule="auto"/>
        <w:ind w:left="720"/>
      </w:pPr>
      <w:r/>
      <w:hyperlink r:id="rId11">
        <w:r>
          <w:rPr>
            <w:color w:val="0000EE"/>
            <w:u w:val="single"/>
          </w:rPr>
          <w:t>https://www.deloitte.com/us/en/insights/industry/oil-and-gas/oil-and-gas-industry-outlook.html</w:t>
        </w:r>
      </w:hyperlink>
      <w:r>
        <w:t xml:space="preserve"> - In 2026, oil and gas companies are navigating shifting policies, rising costs, and new opportunities in liquefied natural gas (LNG) and digital transformation. These factors require agility and discipline to sustain growth. The industry is facing challenges such as managing potential tariff-related cost increases by strengthening supply chains. The US administration has imposed tariffs on non–United States–Mexico–Canada Agreement (USMCA)-compliant crude feedstocks and extended duties to derivative goods like compressors and pumps. These actions could reshape the industry's cost structure and add uncertainty to feedstock sourcing, potentially leading to higher operating costs and supply chain disruptions.</w:t>
      </w:r>
      <w:r/>
    </w:p>
    <w:p>
      <w:pPr>
        <w:pStyle w:val="ListNumber"/>
        <w:spacing w:line="240" w:lineRule="auto"/>
        <w:ind w:left="720"/>
      </w:pPr>
      <w:r/>
      <w:hyperlink r:id="rId12">
        <w:r>
          <w:rPr>
            <w:color w:val="0000EE"/>
            <w:u w:val="single"/>
          </w:rPr>
          <w:t>https://www.hydrocarbonengineering.com/special-reports/23012026/kbr-identifies-five-trends-reshaping-oil-and-gas-in-2026/</w:t>
        </w:r>
      </w:hyperlink>
      <w:r>
        <w:t xml:space="preserve"> - KBR's Paul Bansil has identified five major trends that will shape how oil and gas operators navigate 2026. These trends include the need for certainty and bankability in project development, repurposing of existing infrastructure, lifetime planning, and addressing challenges posed by geopolitical volatility. The current fiscal and geopolitical uncertainty makes timely decision-making more challenging for operators, whether they are investing in new opportunities, modernising, repurposing, or retiring assets. The industry requires a firm footing to turn good ideas into investable, technically sound projects.</w:t>
      </w:r>
      <w:r/>
    </w:p>
    <w:p>
      <w:pPr>
        <w:pStyle w:val="ListNumber"/>
        <w:spacing w:line="240" w:lineRule="auto"/>
        <w:ind w:left="720"/>
      </w:pPr>
      <w:r/>
      <w:hyperlink r:id="rId15">
        <w:r>
          <w:rPr>
            <w:color w:val="0000EE"/>
            <w:u w:val="single"/>
          </w:rPr>
          <w:t>https://www.paulhastings.com/insights/client-alerts/rising-uncertainty-and-shifting-risks-how-market-conditions-are-forcing-epc-reform-in-the-gcc</w:t>
        </w:r>
      </w:hyperlink>
      <w:r>
        <w:t xml:space="preserve"> - Recent trends in regional and global market conditions pose significant challenges for developers of large-scale energy and infrastructure projects across the Gulf Cooperation Council (GCC). In 2026, procurement complexity has reached unprecedented levels due to high demand for engineering, procurement, and construction (EPC) services, as well as global macroeconomic and geopolitical uncertainties. The balance of power is shifting toward contractors, placing traditional procurement models under strain. The surge in regional megaprojects has outpaced contractor capacity in the GCC, leading to increased demand for contractors and suppliers across multiple industries, including oil and gas, petrochemicals, digital infrastructure, and renewables.</w:t>
      </w:r>
      <w:r/>
    </w:p>
    <w:p>
      <w:pPr>
        <w:pStyle w:val="ListNumber"/>
        <w:spacing w:line="240" w:lineRule="auto"/>
        <w:ind w:left="720"/>
      </w:pPr>
      <w:r/>
      <w:hyperlink r:id="rId14">
        <w:r>
          <w:rPr>
            <w:color w:val="0000EE"/>
            <w:u w:val="single"/>
          </w:rPr>
          <w:t>https://www.oilfield-international-services.com/blog/navigating-the-shifting-sands-oil-and-gas-exploration-challenges-in-2026</w:t>
        </w:r>
      </w:hyperlink>
      <w:r>
        <w:t xml:space="preserve"> - The year 2026 presents a complex and multifaceted landscape for oil and gas exploration. While global energy demand continues to rise, driven by developing economies, the industry is simultaneously grappling with immense pressure from environmental concerns, geopolitical instability, technological evolution, and fluctuating market dynamics. The traditional exploration playbook is being rewritten, and companies must adapt rapidly to secure future energy supplies while maintaining social license to operate. The accelerating global energy transition, with increasing commitments to net-zero emissions and the proliferation of renewable energy sources, is under scrutiny, affecting the long-term demand for fossil fuels.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dalpoint.com/blog/oil-and-gas-market-entry-guide/" TargetMode="External"/><Relationship Id="rId10" Type="http://schemas.openxmlformats.org/officeDocument/2006/relationships/hyperlink" Target="https://www.spglobal.com/market-intelligence/en/news-insights/research/2026/03/geopolitical-volatility-driving-rapid-shifts-in-2026-oil-and-gas-forecasts" TargetMode="External"/><Relationship Id="rId11" Type="http://schemas.openxmlformats.org/officeDocument/2006/relationships/hyperlink" Target="https://www.deloitte.com/us/en/insights/industry/oil-and-gas/oil-and-gas-industry-outlook.html" TargetMode="External"/><Relationship Id="rId12" Type="http://schemas.openxmlformats.org/officeDocument/2006/relationships/hyperlink" Target="https://www.hydrocarbonengineering.com/special-reports/23012026/kbr-identifies-five-trends-reshaping-oil-and-gas-in-2026/" TargetMode="External"/><Relationship Id="rId13" Type="http://schemas.openxmlformats.org/officeDocument/2006/relationships/hyperlink" Target="https://www.deloitte.com/us/en/insights/industry/oil-and-gas/mergers-and-acquisitions-in-oil-and-gas.html" TargetMode="External"/><Relationship Id="rId14" Type="http://schemas.openxmlformats.org/officeDocument/2006/relationships/hyperlink" Target="https://www.oilfield-international-services.com/blog/navigating-the-shifting-sands-oil-and-gas-exploration-challenges-in-2026" TargetMode="External"/><Relationship Id="rId15" Type="http://schemas.openxmlformats.org/officeDocument/2006/relationships/hyperlink" Target="https://www.paulhastings.com/insights/client-alerts/rising-uncertainty-and-shifting-risks-how-market-conditions-are-forcing-epc-reform-in-the-g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