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RNA Editing Market Trends to Watch Through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biotech corridors are betting on RNA editing as the next big wave; investors, researchers and drugmakers in the US, Europe and Asia are watching a market expected to grow strongly to 2030 and reshape how we treat genetic disease and cancer.</w:t>
      </w:r>
      <w:r/>
    </w:p>
    <w:p>
      <w:r/>
      <w:r>
        <w:t>Essential Takeaways</w:t>
      </w:r>
      <w:r/>
      <w:r/>
    </w:p>
    <w:p>
      <w:pPr>
        <w:pStyle w:val="ListBullet"/>
        <w:spacing w:line="240" w:lineRule="auto"/>
        <w:ind w:left="720"/>
      </w:pPr>
      <w:r/>
      <w:r>
        <w:rPr>
          <w:b/>
        </w:rPr>
        <w:t>Fast growth:</w:t>
      </w:r>
      <w:r>
        <w:t xml:space="preserve"> The RNA editing market is projected to reach about $26.5bn by 2030, growing at roughly an 8.5% CAGR. </w:t>
      </w:r>
      <w:r/>
    </w:p>
    <w:p>
      <w:pPr>
        <w:pStyle w:val="ListBullet"/>
        <w:spacing w:line="240" w:lineRule="auto"/>
        <w:ind w:left="720"/>
      </w:pPr>
      <w:r/>
      <w:r>
        <w:rPr>
          <w:b/>
        </w:rPr>
        <w:t>Technique focus:</w:t>
      </w:r>
      <w:r>
        <w:t xml:space="preserve"> ADAR-mediated editing and site-directed/base editing are driving clinical interest, offering precise, low‑risk edits. </w:t>
      </w:r>
      <w:r/>
    </w:p>
    <w:p>
      <w:pPr>
        <w:pStyle w:val="ListBullet"/>
        <w:spacing w:line="240" w:lineRule="auto"/>
        <w:ind w:left="720"/>
      </w:pPr>
      <w:r/>
      <w:r>
        <w:rPr>
          <w:b/>
        </w:rPr>
        <w:t>Applications expanding:</w:t>
      </w:r>
      <w:r>
        <w:t xml:space="preserve"> Cancer and genetic disorders are top targets, with rising work on mRNA, tRNA and rRNA modifications. </w:t>
      </w:r>
      <w:r/>
    </w:p>
    <w:p>
      <w:pPr>
        <w:pStyle w:val="ListBullet"/>
        <w:spacing w:line="240" w:lineRule="auto"/>
        <w:ind w:left="720"/>
      </w:pPr>
      <w:r/>
      <w:r>
        <w:rPr>
          <w:b/>
        </w:rPr>
        <w:t>Big names and deals:</w:t>
      </w:r>
      <w:r>
        <w:t xml:space="preserve"> Established biotech players and pharma partnerships are accelerating translation from lab to clinic; collaborations are common. </w:t>
      </w:r>
      <w:r/>
    </w:p>
    <w:p>
      <w:pPr>
        <w:pStyle w:val="ListBullet"/>
        <w:spacing w:line="240" w:lineRule="auto"/>
        <w:ind w:left="720"/>
      </w:pPr>
      <w:r/>
      <w:r>
        <w:rPr>
          <w:b/>
        </w:rPr>
        <w:t>Feel of the field:</w:t>
      </w:r>
      <w:r>
        <w:t xml:space="preserve"> Research looks tangible and urgent, there’s a quiet optimism in labs and boardrooms, and the space smells of ethanol and possibility.</w:t>
      </w:r>
      <w:r/>
      <w:r/>
    </w:p>
    <w:p>
      <w:pPr>
        <w:pStyle w:val="Heading2"/>
      </w:pPr>
      <w:r>
        <w:t>Why the market looks ready to sprint</w:t>
      </w:r>
      <w:r/>
    </w:p>
    <w:p>
      <w:r/>
      <w:r>
        <w:t>The headline number , almost $26.5bn by 2030 , tells you there’s real money behind RNA editing. That projection reflects growing investment, more clinical trials and steady technical gains, especially around ADAR enzymes that edit adenosine to inosine. According to industry reporting, those advances make edits cleaner and more targetable, which reduces risk and raises commercial interest. For patients, that could mean more precise therapies tailored to individual genotypes.</w:t>
      </w:r>
      <w:r/>
    </w:p>
    <w:p>
      <w:r/>
      <w:r>
        <w:t>Companies are pairing up to move faster. Big pharma brings regulatory know‑how and scale, startups bring nimble platforms. That combination tends to speed up the timeline from proof‑of‑concept to first‑in‑human studies, which is why investors and researchers are watching this space closely.</w:t>
      </w:r>
      <w:r/>
    </w:p>
    <w:p>
      <w:pPr>
        <w:pStyle w:val="Heading2"/>
      </w:pPr>
      <w:r>
        <w:t>Which techniques are winning attention , and why that matters</w:t>
      </w:r>
      <w:r/>
    </w:p>
    <w:p>
      <w:r/>
      <w:r>
        <w:t>ADAR‑mediated editing gets a lot of the press because it can edit RNA without cutting DNA, which many see as safer. Base editing and site‑directed methods also get play for their accuracy. Meanwhile, insertion/deletion and deamination techniques remain important for particular use cases.</w:t>
      </w:r>
      <w:r/>
    </w:p>
    <w:p>
      <w:r/>
      <w:r>
        <w:t>If you’re evaluating companies or a potential therapy, look at the technique stack: does the approach require long‑term expression? Is it delivered in vivo or ex vivo? These choices affect safety, cost and how quickly a treatment might reach patients. In short, the technique you pick drives regulatory path and commercial strategy.</w:t>
      </w:r>
      <w:r/>
    </w:p>
    <w:p>
      <w:pPr>
        <w:pStyle w:val="Heading2"/>
      </w:pPr>
      <w:r>
        <w:t>Applications: cancer, rare disease , and some surprising avenues</w:t>
      </w:r>
      <w:r/>
    </w:p>
    <w:p>
      <w:r/>
      <w:r>
        <w:t>Cancer and inherited genetic disorders are front and centre because they present clear unmet needs and measurable endpoints. But the market map also includes temporary maladies and novel targets like tRNA and rRNA modification, which could influence protein translation and cellular stress responses. Researchers are even exploring how modulating ribosomal RNA might change cell behaviour in disease settings.</w:t>
      </w:r>
      <w:r/>
    </w:p>
    <w:p>
      <w:r/>
      <w:r>
        <w:t>The practical upshot: therapeutics that tweak mRNA or tRNA could offer transient correction without altering the genome, which appeals to clinicians wary of permanent changes. For families facing rare, devastating conditions, that transient fix can be a real lifeline while longer‑term options are developed.</w:t>
      </w:r>
      <w:r/>
    </w:p>
    <w:p>
      <w:pPr>
        <w:pStyle w:val="Heading2"/>
      </w:pPr>
      <w:r>
        <w:t>Partnerships, consortia and the business of getting therapies to patients</w:t>
      </w:r>
      <w:r/>
    </w:p>
    <w:p>
      <w:r/>
      <w:r>
        <w:t>Collaboration is the watchword. Recent deals between smaller platform companies and global pharma show a division of labour: early discovery and platform work sits with specialists, while late‑stage development, regulatory strategy and global launch fall to larger partners. That split can accelerate patient access but it also creates dependency on partner alignment and milestones.</w:t>
      </w:r>
      <w:r/>
    </w:p>
    <w:p>
      <w:r/>
      <w:r>
        <w:t>Non‑profit consortia are also important. They bring academic expertise and shared resources to difficult targets such as neurological conditions, and they can de‑risk early research while keeping patient needs central. For funders and founders, this blended ecosystem reduces friction but raises questions about IP, pricing and long‑term access.</w:t>
      </w:r>
      <w:r/>
    </w:p>
    <w:p>
      <w:pPr>
        <w:pStyle w:val="Heading2"/>
      </w:pPr>
      <w:r>
        <w:t>How to read the market if you’re an investor, clinician or curious reader</w:t>
      </w:r>
      <w:r/>
    </w:p>
    <w:p>
      <w:r/>
      <w:r>
        <w:t>If you’re watching from the bench or the balance sheet, track three things: clinical trial readouts, partnership announcements, and advances in delivery technologies. Delivery remains a practical hurdle , getting editors into the right cells safely and effectively is half the battle. Also, consider regulatory signalling: health agencies’ comfort with RNA‑only edits versus DNA edits will shape commercial timelines.</w:t>
      </w:r>
      <w:r/>
    </w:p>
    <w:p>
      <w:r/>
      <w:r>
        <w:t>For patients and clinicians, the advice is similar but practical: ask whether a therapy is transient or permanent, how it’s delivered, and what safety data exist. For investors, diversity across platforms and clear paths to clinical milestones reduce risk.</w:t>
      </w:r>
      <w:r/>
    </w:p>
    <w:p>
      <w:r/>
      <w:r>
        <w:t>It's a small change that could make treatments safer, more precise and far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https://www.openpr.com/news/4501309/outlook-on-the-ribonucleic-acid-rna-editing-market-major</w:t>
        </w:r>
      </w:hyperlink>
      <w:r>
        <w:t xml:space="preserve"> - Please view link - unable to able to access data</w:t>
      </w:r>
      <w:r/>
    </w:p>
    <w:p>
      <w:pPr>
        <w:pStyle w:val="ListNumber"/>
        <w:spacing w:line="240" w:lineRule="auto"/>
        <w:ind w:left="720"/>
      </w:pPr>
      <w:r/>
      <w:hyperlink r:id="rId9">
        <w:r>
          <w:rPr>
            <w:color w:val="0000EE"/>
            <w:u w:val="single"/>
          </w:rPr>
          <w:t>https://www.openpr.com/news/4501309/outlook-on-the-ribonucleic-acid-rna-editing-market-major</w:t>
        </w:r>
      </w:hyperlink>
      <w:r>
        <w:t xml:space="preserve"> - This article discusses the projected growth of the RNA editing market, estimating it will reach $26.48 billion by 2030, with a compound annual growth rate (CAGR) of 8.5%. Factors driving this growth include advancements in ADAR-mediated RNA editing, increased investments in precision medicine, and the integration of RNA editing with gene therapy. The article also highlights the rise in clinical trials focusing on RNA therapeutics and growing collaborations between biotechnology and pharmaceutical firms, which further accelerate market development. Key trends influencing the market include progress in mRNA editing technologies, new therapeutic applications for tRNA, expanded research on rRNA modulation, and heightened attention on treatments for cancer and genetic disorders. The adoption of site-directed and base editing techniques also plays a crucial role in shaping the market landscape.</w:t>
      </w:r>
      <w:r/>
    </w:p>
    <w:p>
      <w:pPr>
        <w:pStyle w:val="ListNumber"/>
        <w:spacing w:line="240" w:lineRule="auto"/>
        <w:ind w:left="720"/>
      </w:pPr>
      <w:r/>
      <w:hyperlink r:id="rId11">
        <w:r>
          <w:rPr>
            <w:color w:val="0000EE"/>
            <w:u w:val="single"/>
          </w:rPr>
          <w:t>https://www.thebusinessresearchcompany.com/sample.aspx?id=27407&amp;type=smp&amp;utm_source=OpenPR&amp;utm_medium=Paid&amp;utm_campaign=Apr_PR</w:t>
        </w:r>
      </w:hyperlink>
      <w:r>
        <w:t xml:space="preserve"> - This is a sample report from The Business Research Company, providing insights into the RNA editing market. The full report offers comprehensive analysis, including market size, growth projections, and detailed segmentation. It covers various aspects of the RNA editing market, including key players, emerging trends, and strategic developments. The report also delves into the factors propelling the market forward, such as advancements in RNA editing technologies and increased investments in precision medicine. Additionally, it provides information on collaborations and clinical trials dedicated to RNA therapeutics, highlighting their role in accelerating industry advancement.</w:t>
      </w:r>
      <w:r/>
    </w:p>
    <w:p>
      <w:pPr>
        <w:pStyle w:val="ListNumber"/>
        <w:spacing w:line="240" w:lineRule="auto"/>
        <w:ind w:left="720"/>
      </w:pPr>
      <w:r/>
      <w:hyperlink r:id="rId10">
        <w:r>
          <w:rPr>
            <w:color w:val="0000EE"/>
            <w:u w:val="single"/>
          </w:rPr>
          <w:t>https://www.thebusinessresearchcompany.com/report/ribonucleic-acid-rna-editing-global-market-report?utm_source=OpenPR&amp;utm_medium=Paid&amp;utm_campaign=Apr_PR</w:t>
        </w:r>
      </w:hyperlink>
      <w:r>
        <w:t xml:space="preserve"> - This comprehensive report from The Business Research Company offers an in-depth analysis of the global RNA editing market. It includes detailed market segmentation, growth projections, and insights into key players and emerging trends. The report examines the factors driving market growth, such as advancements in RNA editing technologies, increased investments in precision medicine, and the integration of RNA editing with gene therapy. It also explores the rise in clinical trials focusing on RNA therapeutics and the growing collaborations between biotechnology and pharmaceutical firms, which further accelerate market development.</w:t>
      </w:r>
      <w:r/>
    </w:p>
    <w:p>
      <w:pPr>
        <w:pStyle w:val="ListNumber"/>
        <w:spacing w:line="240" w:lineRule="auto"/>
        <w:ind w:left="720"/>
      </w:pPr>
      <w:r/>
      <w:hyperlink r:id="rId12">
        <w:r>
          <w:rPr>
            <w:color w:val="0000EE"/>
            <w:u w:val="single"/>
          </w:rPr>
          <w:t>https://www.thebusinessresearchcompany.com/</w:t>
        </w:r>
      </w:hyperlink>
      <w:r>
        <w:t xml:space="preserve"> - The Business Research Company is a market research firm that provides comprehensive reports and insights across various industries. Their reports offer detailed analysis, market size, growth projections, and strategic insights, helping businesses make informed decisions. The company covers a wide range of sectors, including healthcare, technology, and consumer goods, providing valuable information on market trends, competitive landscapes, and emerging opportunities.</w:t>
      </w:r>
      <w:r/>
    </w:p>
    <w:p>
      <w:pPr>
        <w:pStyle w:val="ListNumber"/>
        <w:spacing w:line="240" w:lineRule="auto"/>
        <w:ind w:left="720"/>
      </w:pPr>
      <w:r/>
      <w:hyperlink r:id="rId13">
        <w:r>
          <w:rPr>
            <w:color w:val="0000EE"/>
            <w:u w:val="single"/>
          </w:rPr>
          <w:t>https://in.linkedin.com/company/the-business-research-company</w:t>
        </w:r>
      </w:hyperlink>
      <w:r>
        <w:t xml:space="preserve"> - The Business Research Company maintains an active presence on LinkedIn, sharing updates, insights, and publications related to their market research reports. Their LinkedIn page provides information on recent studies, industry trends, and company news, offering followers access to valuable resources and analyses across various sectors.</w:t>
      </w:r>
      <w:r/>
    </w:p>
    <w:p>
      <w:pPr>
        <w:pStyle w:val="ListNumber"/>
        <w:spacing w:line="240" w:lineRule="auto"/>
        <w:ind w:left="720"/>
      </w:pPr>
      <w:r/>
      <w:hyperlink r:id="rId14">
        <w:r>
          <w:rPr>
            <w:color w:val="0000EE"/>
            <w:u w:val="single"/>
          </w:rPr>
          <w:t>https://twitter.com/tbrc_info</w:t>
        </w:r>
      </w:hyperlink>
      <w:r>
        <w:t xml:space="preserve"> - The Business Research Company engages with its audience on Twitter, sharing updates, insights, and links to their latest market research reports. Their Twitter feed provides timely information on industry trends, market analyses, and company developments, keeping followers informed about the latest research and findings across various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09/outlook-on-the-ribonucleic-acid-rna-editing-market-major" TargetMode="External"/><Relationship Id="rId10" Type="http://schemas.openxmlformats.org/officeDocument/2006/relationships/hyperlink" Target="https://www.thebusinessresearchcompany.com/report/ribonucleic-acid-rna-editing-global-market-report?utm_source=OpenPR&amp;utm_medium=Paid&amp;utm_campaign=Apr_PR" TargetMode="External"/><Relationship Id="rId11" Type="http://schemas.openxmlformats.org/officeDocument/2006/relationships/hyperlink" Target="https://www.thebusinessresearchcompany.com/sample.aspx?id=27407&amp;type=smp&amp;utm_source=OpenPR&amp;utm_medium=Paid&amp;utm_campaign=Apr_PR" TargetMode="External"/><Relationship Id="rId12" Type="http://schemas.openxmlformats.org/officeDocument/2006/relationships/hyperlink" Target="https://www.thebusinessresearchcompany.com/" TargetMode="External"/><Relationship Id="rId13" Type="http://schemas.openxmlformats.org/officeDocument/2006/relationships/hyperlink" Target="https://in.linkedin.com/company/the-business-research-company" TargetMode="External"/><Relationship Id="rId14" Type="http://schemas.openxmlformats.org/officeDocument/2006/relationships/hyperlink" Target="https://twitter.com/tbrc_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