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Uric Acid Drugs to Watch: Market Growth, Trends and What It Means for Patients</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and clinicians are paying closer attention to uric acid drugs as demand for gout and hyperuricemia treatments rises worldwide; this piece explains who’s driving growth, which therapies are gaining ground, and why patients might see more personalised and digital care options soon.</w:t>
      </w:r>
      <w:r/>
    </w:p>
    <w:p>
      <w:r/>
      <w:r>
        <w:t>Essential Takeaways</w:t>
      </w:r>
      <w:r/>
      <w:r/>
    </w:p>
    <w:p>
      <w:pPr>
        <w:pStyle w:val="ListBullet"/>
        <w:spacing w:line="240" w:lineRule="auto"/>
        <w:ind w:left="720"/>
      </w:pPr>
      <w:r/>
      <w:r>
        <w:rPr>
          <w:b/>
        </w:rPr>
        <w:t>Market size:</w:t>
      </w:r>
      <w:r>
        <w:t xml:space="preserve"> The uric acid drug market is expanding briskly, with forecasts pointing to strong double-digit growth through the next decade and rising investment in R&amp;D.</w:t>
      </w:r>
      <w:r/>
    </w:p>
    <w:p>
      <w:pPr>
        <w:pStyle w:val="ListBullet"/>
        <w:spacing w:line="240" w:lineRule="auto"/>
        <w:ind w:left="720"/>
      </w:pPr>
      <w:r/>
      <w:r>
        <w:rPr>
          <w:b/>
        </w:rPr>
        <w:t>Top classes:</w:t>
      </w:r>
      <w:r>
        <w:t xml:space="preserve"> Xanthine oxidase inhibitors remain dominant, while uricosurics, biologics and combination therapies are gaining traction.</w:t>
      </w:r>
      <w:r/>
    </w:p>
    <w:p>
      <w:pPr>
        <w:pStyle w:val="ListBullet"/>
        <w:spacing w:line="240" w:lineRule="auto"/>
        <w:ind w:left="720"/>
      </w:pPr>
      <w:r/>
      <w:r>
        <w:rPr>
          <w:b/>
        </w:rPr>
        <w:t>Regional picture:</w:t>
      </w:r>
      <w:r>
        <w:t xml:space="preserve"> North America leads in value, Asia‑Pacific is the fastest growing market, and generics are reshaping price and access dynamics.</w:t>
      </w:r>
      <w:r/>
    </w:p>
    <w:p>
      <w:pPr>
        <w:pStyle w:val="ListBullet"/>
        <w:spacing w:line="240" w:lineRule="auto"/>
        <w:ind w:left="720"/>
      </w:pPr>
      <w:r/>
      <w:r>
        <w:rPr>
          <w:b/>
        </w:rPr>
        <w:t>Patient impact:</w:t>
      </w:r>
      <w:r>
        <w:t xml:space="preserve"> Newer agents and digital monitoring promise better adherence but cost and side‑effect profiles still limit uptake.</w:t>
      </w:r>
      <w:r/>
    </w:p>
    <w:p>
      <w:pPr>
        <w:pStyle w:val="ListBullet"/>
        <w:spacing w:line="240" w:lineRule="auto"/>
        <w:ind w:left="720"/>
      </w:pPr>
      <w:r/>
      <w:r>
        <w:rPr>
          <w:b/>
        </w:rPr>
        <w:t>Practical note:</w:t>
      </w:r>
      <w:r>
        <w:t xml:space="preserve"> If you or a loved one have gout, ask about drug class, monitoring needs and whether lifestyle changes can reduce medication burden.</w:t>
      </w:r>
      <w:r/>
      <w:r/>
    </w:p>
    <w:p>
      <w:pPr>
        <w:pStyle w:val="Heading2"/>
      </w:pPr>
      <w:r>
        <w:t>Why the uric acid drug market is suddenly on more radars</w:t>
      </w:r>
      <w:r/>
    </w:p>
    <w:p>
      <w:r/>
      <w:r>
        <w:t>Gout and hyperuricemia are no longer niche problems; they hit older adults and people with metabolic risk factors, and the numbers are climbing. Market research firms report that rising prevalence, ageing populations and lifestyle factors are pushing demand for uric acid‑lowering medicines. That translates into more drugs in development and a steady flow of clinical data to compare safety and efficacy. For patients that usually means more choices, though not always cheaper ones.</w:t>
      </w:r>
      <w:r/>
    </w:p>
    <w:p>
      <w:pPr>
        <w:pStyle w:val="Heading2"/>
      </w:pPr>
      <w:r>
        <w:t>Which therapies are winning , and why xanthine oxidase inhibitors still matter</w:t>
      </w:r>
      <w:r/>
    </w:p>
    <w:p>
      <w:r/>
      <w:r>
        <w:t>Xanthine oxidase inhibitors such as long‑standing agents dominate prescriptions because they work broadly and are cost‑effective. But newer options , uricosurics that increase excretion, biologics aimed at specific pathways and combination therapies , are carving out roles for people who don’t respond or who have intolerances. Health systems weigh efficacy against side effects and price, so established drugs remain staples while specialist prescriptions rise.</w:t>
      </w:r>
      <w:r/>
    </w:p>
    <w:p>
      <w:pPr>
        <w:pStyle w:val="Heading2"/>
      </w:pPr>
      <w:r>
        <w:t>Regions to watch: North America, Europe and the fast‑growing Asia‑Pacific market</w:t>
      </w:r>
      <w:r/>
    </w:p>
    <w:p>
      <w:r/>
      <w:r>
        <w:t>North America and Europe hold the largest market shares thanks to advanced healthcare infrastructure and higher per‑patient spending. Meanwhile Asia‑Pacific is forecast to grow fastest as awareness, diagnostics and reimbursement improve across emerging markets. That shift matters because cheaper generics and broader access in those regions can change global pricing and availability dynamics , and influence where pharma companies invest next.</w:t>
      </w:r>
      <w:r/>
    </w:p>
    <w:p>
      <w:pPr>
        <w:pStyle w:val="Heading2"/>
      </w:pPr>
      <w:r>
        <w:t>Innovation beyond pills: personalised medicine and digital tools</w:t>
      </w:r>
      <w:r/>
    </w:p>
    <w:p>
      <w:r/>
      <w:r>
        <w:t>Expect more talk of personalised prescribing and remote monitoring. Pharmacogenomics and patient stratification can reduce adverse reactions and improve outcomes, while digital tools help track flares, adherence and serum urate levels. Industry watchers say these trends will boost long‑term adherence and could cut hospital visits, but the benefits depend on insurers and health services embracing new care models.</w:t>
      </w:r>
      <w:r/>
    </w:p>
    <w:p>
      <w:pPr>
        <w:pStyle w:val="Heading2"/>
      </w:pPr>
      <w:r>
        <w:t>What patients and prescribers should ask now</w:t>
      </w:r>
      <w:r/>
    </w:p>
    <w:p>
      <w:r/>
      <w:r>
        <w:t>If you’re managing gout or high uric acid, ask whether your treatment choice is evidence‑based for your situation, what monitoring it requires, and whether lifestyle changes (weight management, alcohol reduction, diet tweaks) can reduce medication needs. Clinicians should balance efficacy with tolerability and cost, and consider newer agents only when first‑line therapy fails or is contraindicated.</w:t>
      </w:r>
      <w:r/>
    </w:p>
    <w:p>
      <w:r/>
      <w:r>
        <w:t>It's a small change in care that can make every flare less frightening and long‑term management more effective.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[6]</w:t>
        </w:r>
      </w:hyperlink>
      <w:r>
        <w:t xml:space="preserve">- Paragraph 2: </w:t>
      </w:r>
      <w:hyperlink r:id="rId12">
        <w:r>
          <w:rPr>
            <w:color w:val="0000EE"/>
            <w:u w:val="single"/>
          </w:rPr>
          <w:t>[3]</w:t>
        </w:r>
      </w:hyperlink>
      <w:r>
        <w:t xml:space="preserve">, </w:t>
      </w:r>
      <w:hyperlink r:id="rId13">
        <w:r>
          <w:rPr>
            <w:color w:val="0000EE"/>
            <w:u w:val="single"/>
          </w:rPr>
          <w:t>[5]</w:t>
        </w:r>
      </w:hyperlink>
      <w:r>
        <w:t xml:space="preserve">- Paragraph 3: </w:t>
      </w:r>
      <w:hyperlink r:id="rId11">
        <w:r>
          <w:rPr>
            <w:color w:val="0000EE"/>
            <w:u w:val="single"/>
          </w:rPr>
          <w:t>[6]</w:t>
        </w:r>
      </w:hyperlink>
      <w:r>
        <w:t xml:space="preserve">, </w:t>
      </w:r>
      <w:hyperlink r:id="rId14">
        <w:r>
          <w:rPr>
            <w:color w:val="0000EE"/>
            <w:u w:val="single"/>
          </w:rPr>
          <w:t>[7]</w:t>
        </w:r>
      </w:hyperlink>
      <w:r>
        <w:t xml:space="preserve">- Paragraph 4: </w:t>
      </w:r>
      <w:hyperlink r:id="rId10">
        <w:r>
          <w:rPr>
            <w:color w:val="0000EE"/>
            <w:u w:val="single"/>
          </w:rPr>
          <w:t>[2]</w:t>
        </w:r>
      </w:hyperlink>
      <w:r>
        <w:t xml:space="preserve">, </w:t>
      </w:r>
      <w:hyperlink r:id="rId15">
        <w:r>
          <w:rPr>
            <w:color w:val="0000EE"/>
            <w:u w:val="single"/>
          </w:rPr>
          <w:t>[4]</w:t>
        </w:r>
      </w:hyperlink>
      <w:r>
        <w:t xml:space="preserve">- Paragraph 5: </w:t>
      </w:r>
      <w:hyperlink r:id="rId13">
        <w:r>
          <w:rPr>
            <w:color w:val="0000EE"/>
            <w:u w:val="single"/>
          </w:rPr>
          <w:t>[5]</w:t>
        </w:r>
      </w:hyperlink>
      <w:r>
        <w:t xml:space="preserve">, </w:t>
      </w:r>
      <w:hyperlink r:id="rId12">
        <w:r>
          <w:rPr>
            <w:color w:val="0000EE"/>
            <w:u w:val="single"/>
          </w:rPr>
          <w:t>[3]</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https://www.openpr.com/news/4500689/uric-acid-drug-market-analysis-by-application-type</w:t>
        </w:r>
      </w:hyperlink>
      <w:r>
        <w:t xml:space="preserve"> - Please view link - unable to able to access data</w:t>
      </w:r>
      <w:r/>
    </w:p>
    <w:p>
      <w:pPr>
        <w:pStyle w:val="ListNumber"/>
        <w:spacing w:line="240" w:lineRule="auto"/>
        <w:ind w:left="720"/>
      </w:pPr>
      <w:r/>
      <w:hyperlink r:id="rId10">
        <w:r>
          <w:rPr>
            <w:color w:val="0000EE"/>
            <w:u w:val="single"/>
          </w:rPr>
          <w:t>https://www.imarcgroup.com/hyperuricemia-market</w:t>
        </w:r>
      </w:hyperlink>
      <w:r>
        <w:t xml:space="preserve"> - The Hyperuricemia Market report by IMARC Group provides a comprehensive analysis of the global market, including size, trends, and forecasts from 2025 to 2035. It highlights the increasing prevalence of hyperuricemia, a condition characterised by elevated uric acid levels in the blood, leading to gout and other health issues. The report discusses market drivers such as the rising incidence of gout, advancements in pharmacological research, and the development of more effective therapies. It also addresses challenges like potential side effects of uric acid-lowering drugs and the need for personalized treatment approaches.</w:t>
      </w:r>
      <w:r/>
    </w:p>
    <w:p>
      <w:pPr>
        <w:pStyle w:val="ListNumber"/>
        <w:spacing w:line="240" w:lineRule="auto"/>
        <w:ind w:left="720"/>
      </w:pPr>
      <w:r/>
      <w:hyperlink r:id="rId12">
        <w:r>
          <w:rPr>
            <w:color w:val="0000EE"/>
            <w:u w:val="single"/>
          </w:rPr>
          <w:t>https://www.omrglobal.com/press-release/global-antigout-drug-market-share</w:t>
        </w:r>
      </w:hyperlink>
      <w:r>
        <w:t xml:space="preserve"> - OMR Global's report on the Antigout Drug Market projects a growth from $5,100.9 million in 2025 to $7,709.8 million by 2035, with a CAGR of 4.3%. The market encompasses pharmacological treatments aimed at managing and preventing gout by reducing uric acid levels and controlling inflammation. Growth is driven by the rising prevalence of gout and hyperuricemia, particularly among aging populations and individuals with metabolic disorders. The report also highlights the expansion of generic drug availability and the development of combination therapies for better disease management.</w:t>
      </w:r>
      <w:r/>
    </w:p>
    <w:p>
      <w:pPr>
        <w:pStyle w:val="ListNumber"/>
        <w:spacing w:line="240" w:lineRule="auto"/>
        <w:ind w:left="720"/>
      </w:pPr>
      <w:r/>
      <w:hyperlink r:id="rId15">
        <w:r>
          <w:rPr>
            <w:color w:val="0000EE"/>
            <w:u w:val="single"/>
          </w:rPr>
          <w:t>https://www.omrglobal.com/press-release/global-gout-therapeutics-market-share</w:t>
        </w:r>
      </w:hyperlink>
      <w:r>
        <w:t xml:space="preserve"> - OMR Global's report on the Gout Therapeutics Market forecasts growth from $1,645.2 million in 2025 to $2,683.1 million by 2035, with a CAGR of 5.0%. The market includes pharmacological treatments aimed at managing uric acid levels and relieving inflammation associated with gout. Growth is driven by the increasing prevalence of hyperuricemia, rising incidence of lifestyle-related disorders, and growing awareness regarding early diagnosis and treatment of gout. The report also discusses the development of advanced urate-lowering therapies, combination drugs, and biologics to improve patient outcomes.</w:t>
      </w:r>
      <w:r/>
    </w:p>
    <w:p>
      <w:pPr>
        <w:pStyle w:val="ListNumber"/>
        <w:spacing w:line="240" w:lineRule="auto"/>
        <w:ind w:left="720"/>
      </w:pPr>
      <w:r/>
      <w:hyperlink r:id="rId13">
        <w:r>
          <w:rPr>
            <w:color w:val="0000EE"/>
            <w:u w:val="single"/>
          </w:rPr>
          <w:t>https://www.datainsightsmarket.com/reports/hyperuricemia-drugs-1181102</w:t>
        </w:r>
      </w:hyperlink>
      <w:r>
        <w:t xml:space="preserve"> - Data Insights Market Research's report on the Hyperuricemia Drugs Market projects a value of USD 3.2 billion by 2033, with a CAGR of 4.2% during the forecast period (2025-2033). The market is driven by the rising prevalence of gout and hyperuricemia, increasing geriatric population, and growing awareness about the condition. The report segments the market based on application, type, and region, highlighting North America's dominance due to high prevalence and advanced healthcare infrastructure, and Asia Pacific's expected rapid growth due to rising healthcare expenditure and awareness.</w:t>
      </w:r>
      <w:r/>
    </w:p>
    <w:p>
      <w:pPr>
        <w:pStyle w:val="ListNumber"/>
        <w:spacing w:line="240" w:lineRule="auto"/>
        <w:ind w:left="720"/>
      </w:pPr>
      <w:r/>
      <w:hyperlink r:id="rId11">
        <w:r>
          <w:rPr>
            <w:color w:val="0000EE"/>
            <w:u w:val="single"/>
          </w:rPr>
          <w:t>https://www.futuremarketreport.com/industry-report/uric-acid-drug-market</w:t>
        </w:r>
      </w:hyperlink>
      <w:r>
        <w:t xml:space="preserve"> - Future Market Report's analysis of the Uric Acid Drug Market estimates a size of USD 2,800.00 million in 2024, projected to reach USD 5,300.00 million by 2032, growing at a CAGR of 8.2% from 2025 to 2032. The market focuses on medications developed to manage elevated uric acid levels, commonly associated with conditions such as gout and hyperuricemia. Growth is attributed to the increasing global prevalence of lifestyle diseases and aging populations prone to uric acid disorders, as well as healthcare providers' emphasis on early diagnosis and treatment.</w:t>
      </w:r>
      <w:r/>
    </w:p>
    <w:p>
      <w:pPr>
        <w:pStyle w:val="ListNumber"/>
        <w:spacing w:line="240" w:lineRule="auto"/>
        <w:ind w:left="720"/>
      </w:pPr>
      <w:r/>
      <w:hyperlink r:id="rId14">
        <w:r>
          <w:rPr>
            <w:color w:val="0000EE"/>
            <w:u w:val="single"/>
          </w:rPr>
          <w:t>https://www.datainsightsmarket.com/reports/uric-acid-drug-331445</w:t>
        </w:r>
      </w:hyperlink>
      <w:r>
        <w:t xml:space="preserve"> - Data Insights Market Research's report on the Uric Acid Drug Market projects a value of $17.74 billion by 2033, with a CAGR of 10.06% during the forecast period (2025-2033). The market expansion is propelled by the escalating prevalence of gout and hyperuricemia, heightened awareness of these conditions, and the introduction of innovative therapeutic solutions. The growing aging population, with increased susceptibility to uric acid-related disorders, also significantly contributes to market growth.</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openpr.com/news/4500689/uric-acid-drug-market-analysis-by-application-type" TargetMode="External"/><Relationship Id="rId10" Type="http://schemas.openxmlformats.org/officeDocument/2006/relationships/hyperlink" Target="https://www.imarcgroup.com/hyperuricemia-market" TargetMode="External"/><Relationship Id="rId11" Type="http://schemas.openxmlformats.org/officeDocument/2006/relationships/hyperlink" Target="https://www.futuremarketreport.com/industry-report/uric-acid-drug-market" TargetMode="External"/><Relationship Id="rId12" Type="http://schemas.openxmlformats.org/officeDocument/2006/relationships/hyperlink" Target="https://www.omrglobal.com/press-release/global-antigout-drug-market-share" TargetMode="External"/><Relationship Id="rId13" Type="http://schemas.openxmlformats.org/officeDocument/2006/relationships/hyperlink" Target="https://www.datainsightsmarket.com/reports/hyperuricemia-drugs-1181102" TargetMode="External"/><Relationship Id="rId14" Type="http://schemas.openxmlformats.org/officeDocument/2006/relationships/hyperlink" Target="https://www.datainsightsmarket.com/reports/uric-acid-drug-331445" TargetMode="External"/><Relationship Id="rId15" Type="http://schemas.openxmlformats.org/officeDocument/2006/relationships/hyperlink" Target="https://www.omrglobal.com/press-release/global-gout-therapeutics-market-sha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