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FAOD Market Growth: Why Early Screening and Gene Therapy Matter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healthcare investment and rare-disease communities are watching a fast-moving fatty acid oxidation disorder (FAOD) market unfold, as newborn screening, genetic testing and new therapies reshape diagnosis and care across North America, Europe and Asia Pacific. Here's what that growth means for patients, clinicians and investors.</w:t>
      </w:r>
      <w:r/>
    </w:p>
    <w:p>
      <w:r/>
      <w:r>
        <w:t>Essential Takeaways</w:t>
      </w:r>
      <w:r/>
      <w:r/>
    </w:p>
    <w:p>
      <w:pPr>
        <w:pStyle w:val="ListBullet"/>
        <w:spacing w:line="240" w:lineRule="auto"/>
        <w:ind w:left="720"/>
      </w:pPr>
      <w:r/>
      <w:r>
        <w:rPr>
          <w:b/>
        </w:rPr>
        <w:t>Strong market growth:</w:t>
      </w:r>
      <w:r>
        <w:t xml:space="preserve"> The FAOD market is forecast to expand at roughly an 8% CAGR to 2033, rising from an estimated US$11.1bn in 2026 toward a larger market by 2033.</w:t>
      </w:r>
      <w:r/>
    </w:p>
    <w:p>
      <w:pPr>
        <w:pStyle w:val="ListBullet"/>
        <w:spacing w:line="240" w:lineRule="auto"/>
        <w:ind w:left="720"/>
      </w:pPr>
      <w:r/>
      <w:r>
        <w:rPr>
          <w:b/>
        </w:rPr>
        <w:t>Screening drives demand:</w:t>
      </w:r>
      <w:r>
        <w:t xml:space="preserve"> Wider newborn screening programmes and metabolic testing are increasing diagnosis rates, so more patients are entering care pathways earlier.</w:t>
      </w:r>
      <w:r/>
    </w:p>
    <w:p>
      <w:pPr>
        <w:pStyle w:val="ListBullet"/>
        <w:spacing w:line="240" w:lineRule="auto"/>
        <w:ind w:left="720"/>
      </w:pPr>
      <w:r/>
      <w:r>
        <w:rPr>
          <w:b/>
        </w:rPr>
        <w:t>Treatment mix shifting:</w:t>
      </w:r>
      <w:r>
        <w:t xml:space="preserve"> Levocarnitine dominates current revenues with a familiar, mild-smelling, easy-to-administer profile; triheptanoin is the fastest-growing novel therapy for long-chain FAODs.</w:t>
      </w:r>
      <w:r/>
    </w:p>
    <w:p>
      <w:pPr>
        <w:pStyle w:val="ListBullet"/>
        <w:spacing w:line="240" w:lineRule="auto"/>
        <w:ind w:left="720"/>
      </w:pPr>
      <w:r/>
      <w:r>
        <w:rPr>
          <w:b/>
        </w:rPr>
        <w:t>Care settings evolving:</w:t>
      </w:r>
      <w:r>
        <w:t xml:space="preserve"> Hospital pharmacies remain central for emergency and initiation care, while online pharmacies are the fastest-growing distribution channel for chronic supplies.</w:t>
      </w:r>
      <w:r/>
    </w:p>
    <w:p>
      <w:pPr>
        <w:pStyle w:val="ListBullet"/>
        <w:spacing w:line="240" w:lineRule="auto"/>
        <w:ind w:left="720"/>
      </w:pPr>
      <w:r/>
      <w:r>
        <w:rPr>
          <w:b/>
        </w:rPr>
        <w:t>Innovation on the horizon:</w:t>
      </w:r>
      <w:r>
        <w:t xml:space="preserve"> Gene therapies, CRISPR approaches and precision biomarkers promise durable, personalised options that could reduce recurrent metabolic crises.</w:t>
      </w:r>
      <w:r/>
      <w:r/>
    </w:p>
    <w:p>
      <w:pPr>
        <w:pStyle w:val="Heading2"/>
      </w:pPr>
      <w:r>
        <w:t>Why expanded newborn screening is changing everything</w:t>
      </w:r>
      <w:r/>
    </w:p>
    <w:p>
      <w:r/>
      <w:r>
        <w:t>Early diagnosis feels almost tangible when you hear clinicians describe it , fewer late-night emergency admissions, less frantic searching for answers. Newborn screening expansion is the single most practical reason FAOD patient numbers in registries are rising, and that creates real demand for therapies and support services. According to market studies, regions with systematic screening capture a far higher share of cases, which leads to earlier dietary and pharmacological interventions. For families, that means simpler routines and fewer crises; for industry, it means clearer forecasting and faster uptake of new treatments.</w:t>
      </w:r>
      <w:r/>
    </w:p>
    <w:p>
      <w:pPr>
        <w:pStyle w:val="Heading2"/>
      </w:pPr>
      <w:r>
        <w:t>Levocarnitine keeps the market steady while new drugs accelerate</w:t>
      </w:r>
      <w:r/>
    </w:p>
    <w:p>
      <w:r/>
      <w:r>
        <w:t>Levocarnitine is the workhorse: well-known, available in oral and IV forms, and responsible for a large share of current revenues because it’s broadly prescribed and familiar to clinicians. But the market pulse is quickening around triheptanoin, approved for long-chain FAODs, which provides an alternative energy substrate and is seeing rapid physician adoption. The practical takeaway is simple , traditional supplements will remain essential, but expect a shifting treatment mix as speciality drugs and reimbursement expand.</w:t>
      </w:r>
      <w:r/>
    </w:p>
    <w:p>
      <w:pPr>
        <w:pStyle w:val="Heading2"/>
      </w:pPr>
      <w:r>
        <w:t>Hospital care vs online pharmacy: how patients actually get treatment</w:t>
      </w:r>
      <w:r/>
    </w:p>
    <w:p>
      <w:r/>
      <w:r>
        <w:t>Hospital pharmacies still hold the frontline role for diagnosis, emergency infusions and initiation of complex regimens , they offer controlled storage, specialist advice and immediate access to intravenous therapies. Meanwhile, digital health and online pharmacies are growing fastest for routine refills and chronic supplies, offering convenience and quieter domestic logistics for families who manage dietary formulas and supplements. If you’re a carer, factor in both: an emergency plan with your hospital team and a reliable online supplier for day-to-day needs.</w:t>
      </w:r>
      <w:r/>
    </w:p>
    <w:p>
      <w:pPr>
        <w:pStyle w:val="Heading2"/>
      </w:pPr>
      <w:r>
        <w:t>Gene therapy and precision medicine: hype backed by real science</w:t>
      </w:r>
      <w:r/>
    </w:p>
    <w:p>
      <w:r/>
      <w:r>
        <w:t>Gene-based approaches are moving from lab buzzword to clinical ambition, with viral vectors and gene editing strategies targeting the enzymatic drivers of FAODs. Companion diagnostics, improved sequencing and biomarker work are making personalised therapy realistic rather than theoretical. For clinicians and investors, that’s the most important change: therapies that address root causes could reduce lifelong hospital admissions and change the economics of care. It’s still early, but partnerships between biotechs and metabolic centres are accelerating trials and regulatory conversations.</w:t>
      </w:r>
      <w:r/>
    </w:p>
    <w:p>
      <w:pPr>
        <w:pStyle w:val="Heading2"/>
      </w:pPr>
      <w:r>
        <w:t>Regional dynamics: where growth is fastest and why it matters</w:t>
      </w:r>
      <w:r/>
    </w:p>
    <w:p>
      <w:r/>
      <w:r>
        <w:t>North America is forecast to lead in market share, buoyed by established newborn screening, specialist centres and orphan drug incentives that speed approvals. Europe follows with coordinated networks and EMA incentives, while Asia Pacific is the fastest-growing region as screening, clinician training and healthcare infrastructure scale up. For industry watchers, that pattern signals where to expect faster uptake of novel therapies and where capacity-building investments will pay off first.</w:t>
      </w:r>
      <w:r/>
    </w:p>
    <w:p>
      <w:r/>
      <w:r>
        <w:t>Closing line It’s a rare-disease market that’s maturing fast: better screening gets patients into care sooner, established treatments keep stability, and gene-based innovation promises a very different future.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https://www.openpr.com/news/4500601/fatty-acid-oxidation-disorder-market-expansion-driven-by-8-cagr</w:t>
        </w:r>
      </w:hyperlink>
      <w:r>
        <w:t xml:space="preserve"> - Please view link - unable to able to access data</w:t>
      </w:r>
      <w:r/>
    </w:p>
    <w:p>
      <w:pPr>
        <w:pStyle w:val="ListNumber"/>
        <w:spacing w:line="240" w:lineRule="auto"/>
        <w:ind w:left="720"/>
      </w:pPr>
      <w:r/>
      <w:hyperlink r:id="rId10">
        <w:r>
          <w:rPr>
            <w:color w:val="0000EE"/>
            <w:u w:val="single"/>
          </w:rPr>
          <w:t>https://www.persistencemarketresearch.com/market-research/fatty-acid-oxidation-disorder-market.asp</w:t>
        </w:r>
      </w:hyperlink>
      <w:r>
        <w:t xml:space="preserve"> - This report from Persistence Market Research provides a comprehensive analysis of the global Fatty Acid Oxidation Disorder (FAOD) market, highlighting key industry insights, market dynamics, and growth projections. It discusses the projected market size, growth rate, and factors driving market expansion, such as advancements in genetic sequencing and metabolic diagnostics. The report also covers regional market shares, treatment types, and distribution channels, offering a detailed overview of the FAOD market landscape.</w:t>
      </w:r>
      <w:r/>
    </w:p>
    <w:p>
      <w:pPr>
        <w:pStyle w:val="ListNumber"/>
        <w:spacing w:line="240" w:lineRule="auto"/>
        <w:ind w:left="720"/>
      </w:pPr>
      <w:r/>
      <w:hyperlink r:id="rId12">
        <w:r>
          <w:rPr>
            <w:color w:val="0000EE"/>
            <w:u w:val="single"/>
          </w:rPr>
          <w:t>https://www.datainsightsmarket.com/reports/fatty-acid-oxidation-disorder-1221647</w:t>
        </w:r>
      </w:hyperlink>
      <w:r>
        <w:t xml:space="preserve"> - This market dynamics report from Data Insights Market Research delves into the drivers and barriers affecting the growth of the Fatty Acid Oxidation Disorder market from 2026 to 2034. It examines factors such as technological advancements, therapeutic innovations, and regional market trends. The report provides insights into market segmentation by application, treatment type, and distribution channel, offering a nuanced understanding of the FAOD market's growth trajectory.</w:t>
      </w:r>
      <w:r/>
    </w:p>
    <w:p>
      <w:pPr>
        <w:pStyle w:val="ListNumber"/>
        <w:spacing w:line="240" w:lineRule="auto"/>
        <w:ind w:left="720"/>
      </w:pPr>
      <w:r/>
      <w:hyperlink r:id="rId14">
        <w:r>
          <w:rPr>
            <w:color w:val="0000EE"/>
            <w:u w:val="single"/>
          </w:rPr>
          <w:t>https://www.datainsightsmarket.com/reports/fatty-acid-oxidation-disorder-331639</w:t>
        </w:r>
      </w:hyperlink>
      <w:r>
        <w:t xml:space="preserve"> - This report from Data Insights Market Research offers a global perspective on the growth of the Fatty Acid Oxidation Disorder market from 2026 to 2034. It highlights key market dynamics, including the impact of increased healthcare investments and rising awareness of genetic disorders. The report provides detailed market segmentation by application, treatment type, and distribution channel, along with insights into regional market shares and growth projections.</w:t>
      </w:r>
      <w:r/>
    </w:p>
    <w:p>
      <w:pPr>
        <w:pStyle w:val="ListNumber"/>
        <w:spacing w:line="240" w:lineRule="auto"/>
        <w:ind w:left="720"/>
      </w:pPr>
      <w:r/>
      <w:hyperlink r:id="rId13">
        <w:r>
          <w:rPr>
            <w:color w:val="0000EE"/>
            <w:u w:val="single"/>
          </w:rPr>
          <w:t>https://www.databridgemarketresearch.com/reports/global-molecularly-long-chain-fatty-acid-oxidation-disorders-market</w:t>
        </w:r>
      </w:hyperlink>
      <w:r>
        <w:t xml:space="preserve"> - This report from Data Bridge Market Research analyzes the global market for molecularly long-chain fatty acid oxidation disorders, focusing on market size, trends, and growth projections up to 2033. It discusses factors driving market growth, such as increased awareness of rare metabolic disorders and advancements in diagnostic technologies. The report also covers market segmentation by treatment type, route of administration, distribution channel, and region, providing a comprehensive overview of the FAOD market.</w:t>
      </w:r>
      <w:r/>
    </w:p>
    <w:p>
      <w:pPr>
        <w:pStyle w:val="ListNumber"/>
        <w:spacing w:line="240" w:lineRule="auto"/>
        <w:ind w:left="720"/>
      </w:pPr>
      <w:r/>
      <w:hyperlink r:id="rId11">
        <w:r>
          <w:rPr>
            <w:color w:val="0000EE"/>
            <w:u w:val="single"/>
          </w:rPr>
          <w:t>https://www.researchandmarkets.com/reports/6089945/fatty-acid-oxidation-disorders-faods-market</w:t>
        </w:r>
      </w:hyperlink>
      <w:r>
        <w:t xml:space="preserve"> - This market report from The Business Research Company provides an in-depth analysis of the Fatty Acid Oxidation Disorders (FAODs) market, including market size, growth projections, and key trends. It examines factors contributing to market growth, such as neonatal screening initiatives and increased diagnosis of inherited metabolic disorders. The report also discusses the expansion of hospital-based metabolic clinics and the availability of supportive drug therapies, offering insights into the FAOD market's dynamics.</w:t>
      </w:r>
      <w:r/>
    </w:p>
    <w:p>
      <w:pPr>
        <w:pStyle w:val="ListNumber"/>
        <w:spacing w:line="240" w:lineRule="auto"/>
        <w:ind w:left="720"/>
      </w:pPr>
      <w:r/>
      <w:hyperlink r:id="rId13">
        <w:r>
          <w:rPr>
            <w:color w:val="0000EE"/>
            <w:u w:val="single"/>
          </w:rPr>
          <w:t>https://www.databridgemarketresearch.com/reports/global-molecularly-long-chain-fatty-acid-oxidation-disorders-market</w:t>
        </w:r>
      </w:hyperlink>
      <w:r>
        <w:t xml:space="preserve"> - This report from Data Bridge Market Research provides a comprehensive analysis of the global molecularly long-chain fatty acid oxidation disorders market, focusing on market size, trends, and growth projections up to 2033. It discusses factors driving market growth, such as increased awareness of rare metabolic disorders, advancements in diagnostic technologies, and the adoption of specialized therapeutic interventions. The report also covers market segmentation by treatment type, route of administration, distribution channel, and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0601/fatty-acid-oxidation-disorder-market-expansion-driven-by-8-cagr" TargetMode="External"/><Relationship Id="rId10" Type="http://schemas.openxmlformats.org/officeDocument/2006/relationships/hyperlink" Target="https://www.persistencemarketresearch.com/market-research/fatty-acid-oxidation-disorder-market.asp" TargetMode="External"/><Relationship Id="rId11" Type="http://schemas.openxmlformats.org/officeDocument/2006/relationships/hyperlink" Target="https://www.researchandmarkets.com/reports/6089945/fatty-acid-oxidation-disorders-faods-market" TargetMode="External"/><Relationship Id="rId12" Type="http://schemas.openxmlformats.org/officeDocument/2006/relationships/hyperlink" Target="https://www.datainsightsmarket.com/reports/fatty-acid-oxidation-disorder-1221647" TargetMode="External"/><Relationship Id="rId13" Type="http://schemas.openxmlformats.org/officeDocument/2006/relationships/hyperlink" Target="https://www.databridgemarketresearch.com/reports/global-molecularly-long-chain-fatty-acid-oxidation-disorders-market" TargetMode="External"/><Relationship Id="rId14" Type="http://schemas.openxmlformats.org/officeDocument/2006/relationships/hyperlink" Target="https://www.datainsightsmarket.com/reports/fatty-acid-oxidation-disorder-33163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