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Bio-Digital Convergence Trends to Watch for Precision Medicine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science and hospital leaders alike are turning to bio-digital convergence, as biology and computing fuse to unlock faster drug discovery, smarter diagnostics and personalised care that actually fits patients. Here’s what’s trending, why it matters across healthcare and industry, and simple ways organisations and consumers can make the most of it.</w:t>
      </w:r>
      <w:r/>
    </w:p>
    <w:p>
      <w:r/>
      <w:r>
        <w:t>Essential Takeaways</w:t>
      </w:r>
      <w:r/>
      <w:r/>
    </w:p>
    <w:p>
      <w:pPr>
        <w:pStyle w:val="ListBullet"/>
        <w:spacing w:line="240" w:lineRule="auto"/>
        <w:ind w:left="720"/>
      </w:pPr>
      <w:r/>
      <w:r>
        <w:rPr>
          <w:b/>
        </w:rPr>
        <w:t>Market momentum:</w:t>
      </w:r>
      <w:r>
        <w:t xml:space="preserve"> The global bioconvergence market is growing fast, with strong projections through 2030 and major regional differences. </w:t>
      </w:r>
      <w:r/>
    </w:p>
    <w:p>
      <w:pPr>
        <w:pStyle w:val="ListBullet"/>
        <w:spacing w:line="240" w:lineRule="auto"/>
        <w:ind w:left="720"/>
      </w:pPr>
      <w:r/>
      <w:r>
        <w:rPr>
          <w:b/>
        </w:rPr>
        <w:t>AI acceleration:</w:t>
      </w:r>
      <w:r>
        <w:t xml:space="preserve"> AI is speeding drug discovery and genomics analysis, cutting timelines and lab costs while improving diagnostic accuracy. </w:t>
      </w:r>
      <w:r/>
    </w:p>
    <w:p>
      <w:pPr>
        <w:pStyle w:val="ListBullet"/>
        <w:spacing w:line="240" w:lineRule="auto"/>
        <w:ind w:left="720"/>
      </w:pPr>
      <w:r/>
      <w:r>
        <w:rPr>
          <w:b/>
        </w:rPr>
        <w:t>Wearables and sensors:</w:t>
      </w:r>
      <w:r>
        <w:t xml:space="preserve"> Ubiquitous wearables and biosensors enable real‑time monitoring, better adherence and earlier detection. </w:t>
      </w:r>
      <w:r/>
    </w:p>
    <w:p>
      <w:pPr>
        <w:pStyle w:val="ListBullet"/>
        <w:spacing w:line="240" w:lineRule="auto"/>
        <w:ind w:left="720"/>
      </w:pPr>
      <w:r/>
      <w:r>
        <w:rPr>
          <w:b/>
        </w:rPr>
        <w:t>Investment and innovation:</w:t>
      </w:r>
      <w:r>
        <w:t xml:space="preserve"> Venture capital and cross‑industry partnerships are increasing, driving new startups and hybrid tech like DNA storage. </w:t>
      </w:r>
      <w:r/>
    </w:p>
    <w:p>
      <w:pPr>
        <w:pStyle w:val="ListBullet"/>
        <w:spacing w:line="240" w:lineRule="auto"/>
        <w:ind w:left="720"/>
      </w:pPr>
      <w:r/>
      <w:r>
        <w:rPr>
          <w:b/>
        </w:rPr>
        <w:t>Risk landscape:</w:t>
      </w:r>
      <w:r>
        <w:t xml:space="preserve"> Greater data sharing brings cybersecurity and regulatory complexity that organisations must manage proactively.</w:t>
      </w:r>
      <w:r/>
      <w:r/>
    </w:p>
    <w:p>
      <w:pPr>
        <w:pStyle w:val="Heading2"/>
      </w:pPr>
      <w:r>
        <w:t>Why bioconvergence is suddenly in the fast lane</w:t>
      </w:r>
      <w:r/>
    </w:p>
    <w:p>
      <w:r/>
      <w:r>
        <w:t>Bio-digital convergence feels like a quiet revolution until you notice how many small wins add up , a chip company teaming with a biotech, or an AI model that spots disease earlier than the human eye. According to market trackers, the sector is expanding rapidly, with a sizeable baseline and a steep projected climb through the decade. That growth reflects real deployments: more AI in labs, more wearables on wrists, and more personalised therapies in clinics. For patients it’s tangible , quieter monitoring, less guesswork, and treatments tuned to their genetic profile.</w:t>
      </w:r>
      <w:r/>
    </w:p>
    <w:p>
      <w:pPr>
        <w:pStyle w:val="Heading2"/>
      </w:pPr>
      <w:r>
        <w:t>How AI is reshaping drug discovery and genomics</w:t>
      </w:r>
      <w:r/>
    </w:p>
    <w:p>
      <w:r/>
      <w:r>
        <w:t>AI isn’t a magic wand, but it’s a time‑machine for early‑stage research. Pharmaceutical and biotech firms now use machine learning to screen millions of compounds and predict protein structures, shortening discovery timelines and lowering costs. Industry reports show a large share of drug pipelines now include AI tools, and genomics analysis is much faster than traditional bioinformatics. If you’re choosing partners or vendors, prioritise platforms with transparent validation and real‑world evidence , it’s where promise becomes practice.</w:t>
      </w:r>
      <w:r/>
    </w:p>
    <w:p>
      <w:pPr>
        <w:pStyle w:val="Heading2"/>
      </w:pPr>
      <w:r>
        <w:t>Wearables, biosensors and the move to continuous care</w:t>
      </w:r>
      <w:r/>
    </w:p>
    <w:p>
      <w:r/>
      <w:r>
        <w:t>Wearables have moved from fitness bling to medical instrumentation; millions now wear devices that can spot early signs of illness and support remote care. The result is fewer emergency admissions, better patient adherence, and more trials using digital endpoints. For clinicians and health systems, that means integrating sensor data into workflows and managing data quality. For consumers, it’s worth picking devices with clear privacy policies and clinically validated metrics rather than the flashiest feature list.</w:t>
      </w:r>
      <w:r/>
    </w:p>
    <w:p>
      <w:pPr>
        <w:pStyle w:val="Heading2"/>
      </w:pPr>
      <w:r>
        <w:t>Investment, startups and cross‑industry partnerships , who’s paying for it?</w:t>
      </w:r>
      <w:r/>
    </w:p>
    <w:p>
      <w:r/>
      <w:r>
        <w:t>Venture capital continues to flow into bio-digital startups, while big tech, chipmakers and pharma strike deals to combine strengths. That collaboration is practical: startups bring nimble platforms, incumbents bring scale and clinical access. The funding environment and growing patent activity show the field is maturing, but supply-side dominance remains in many niches, so buyers should watch for vendor lock-in. If you’re an investor or founder, focus on clear regulatory pathways and commercial use cases that reduce time to revenue.</w:t>
      </w:r>
      <w:r/>
    </w:p>
    <w:p>
      <w:pPr>
        <w:pStyle w:val="Heading2"/>
      </w:pPr>
      <w:r>
        <w:t>The regulatory and security balancing act</w:t>
      </w:r>
      <w:r/>
    </w:p>
    <w:p>
      <w:r/>
      <w:r>
        <w:t>Regulators are catching up, approving increasing numbers of AI-enabled devices and expanding frameworks across markets. That’s good news, but it comes with costs: compliance, data governance and cybersecurity. Healthcare breaches remain expensive and frequent, so organisations must treat genomic and sensor data as high‑value assets. Practical steps include adopting interoperable standards, using cloud security best practice, and involving legal and ethics teams early when designing products.</w:t>
      </w:r>
      <w:r/>
    </w:p>
    <w:p>
      <w:pPr>
        <w:pStyle w:val="Heading2"/>
      </w:pPr>
      <w:r>
        <w:t>What this means for patients and clinicians</w:t>
      </w:r>
      <w:r/>
    </w:p>
    <w:p>
      <w:r/>
      <w:r>
        <w:t>Expect more targeted therapies, shorter diagnostic odysseys for rare disease patients, and trials that use remote monitoring to be less burdensome. Clinicians will need tools that integrate into existing workflows rather than add noise, and patients will need clear information about privacy and benefit. For anyone navigating treatment options, ask whether a proposed test or digital therapy has regulatory backing and peer-reviewed evidence; those details matter more than marketing.</w:t>
      </w:r>
      <w:r/>
    </w:p>
    <w:p>
      <w:r/>
      <w:r>
        <w:t>It's a small change that can make every diagnosis and drug decision smarter and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[5]</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https://techrt.com/bio-digital-convergence-statistics/</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https://www.grandviewresearch.com/press-release/global-healthcare-bioconvergence-market</w:t>
        </w:r>
      </w:hyperlink>
      <w:r>
        <w:t xml:space="preserve"> - Grand View Research's report projects the global healthcare bioconvergence market to reach $215.2 billion by 2030, growing at a 6.7% CAGR from 2025 to 2030. The report highlights factors such as the growing geriatric population, advancements in stem cell technology, and the integration of high-tech technologies like robotics, machine learning, and artificial intelligence with life sciences as key drivers of this growth. The market's expansion is also attributed to the incorporation of advanced technologies into biotech research and development, which has accelerated drug development processes, including those for COVID-19 treatments and vaccines.</w:t>
      </w:r>
      <w:r/>
    </w:p>
    <w:p>
      <w:pPr>
        <w:pStyle w:val="ListNumber"/>
        <w:spacing w:line="240" w:lineRule="auto"/>
        <w:ind w:left="720"/>
      </w:pPr>
      <w:r/>
      <w:hyperlink r:id="rId11">
        <w:r>
          <w:rPr>
            <w:color w:val="0000EE"/>
            <w:u w:val="single"/>
          </w:rPr>
          <w:t>https://www.grandviewresearch.com/industry-analysis/healthcare-bioconvergence-market-report</w:t>
        </w:r>
      </w:hyperlink>
      <w:r>
        <w:t xml:space="preserve"> - This report provides a comprehensive analysis of the healthcare bioconvergence market, detailing its size, share, and trends up to 2030. It forecasts the market to reach $215.2 billion by 2030, with a CAGR of 6.7% from 2025 to 2030. The report covers various applications such as drug discovery, nanorobotics for drug delivery, regenerative medicine, diagnostic and biological sensors, bioelectronics, engineered living materials, optogenetics, and precision medicine. It also offers regional insights, including North America, Europe, Asia Pacific, Latin America, and the Middle East and Africa.</w:t>
      </w:r>
      <w:r/>
    </w:p>
    <w:p>
      <w:pPr>
        <w:pStyle w:val="ListNumber"/>
        <w:spacing w:line="240" w:lineRule="auto"/>
        <w:ind w:left="720"/>
      </w:pPr>
      <w:r/>
      <w:hyperlink r:id="rId13">
        <w:r>
          <w:rPr>
            <w:color w:val="0000EE"/>
            <w:u w:val="single"/>
          </w:rPr>
          <w:t>https://www.globenewswire.com/news-release/2026/03/04/3249443/0/en/Global-Digital-Biomarkers-Market-to-Reach-USD-15-60-Billion-by-2030-MarketsandMarkets.html</w:t>
        </w:r>
      </w:hyperlink>
      <w:r>
        <w:t xml:space="preserve"> - MarketsandMarkets reports that the global digital biomarkers market, valued at $4.10 billion in 2024, is projected to grow at a 19.9% CAGR from 2025 to 2030, reaching $15.60 billion by 2030. This growth signifies a fundamental shift in disease detection, monitoring, and treatment. The report emphasizes the strategic importance of this market for decision-makers in life sciences, medical technology, health systems, and digital health, highlighting its impact on drug development pipelines, patient management frameworks, and clinical trial architectures worldwide.</w:t>
      </w:r>
      <w:r/>
    </w:p>
    <w:p>
      <w:pPr>
        <w:pStyle w:val="ListNumber"/>
        <w:spacing w:line="240" w:lineRule="auto"/>
        <w:ind w:left="720"/>
      </w:pPr>
      <w:r/>
      <w:hyperlink r:id="rId12">
        <w:r>
          <w:rPr>
            <w:color w:val="0000EE"/>
            <w:u w:val="single"/>
          </w:rPr>
          <w:t>https://www.grandviewresearch.com/horizon/outlook/healthcare-bioconvergence-market/united-states</w:t>
        </w:r>
      </w:hyperlink>
      <w:r>
        <w:t xml:space="preserve"> - Grand View Research's analysis of the U.S. healthcare bioconvergence market projects a revenue of $51,125.3 million by 2030, with a CAGR of 6.2% from 2025 to 2030. The report identifies drug discovery as the largest revenue-generating application in 2022 and highlights nanorobotics for drug delivery as the fastest-growing segment during the forecast period. It also notes that the U.S. accounted for 24.7% of the global healthcare bioconvergence market in 2022 and is expected to lead the global market in terms of revenue by 2030.</w:t>
      </w:r>
      <w:r/>
    </w:p>
    <w:p>
      <w:pPr>
        <w:pStyle w:val="ListNumber"/>
        <w:spacing w:line="240" w:lineRule="auto"/>
        <w:ind w:left="720"/>
      </w:pPr>
      <w:r/>
      <w:hyperlink r:id="rId10">
        <w:r>
          <w:rPr>
            <w:color w:val="0000EE"/>
            <w:u w:val="single"/>
          </w:rPr>
          <w:t>https://www.grandviewresearch.com/press-release/global-healthcare-bioconvergence-market</w:t>
        </w:r>
      </w:hyperlink>
      <w:r>
        <w:t xml:space="preserve"> - Grand View Research's report projects the global healthcare bioconvergence market to reach $215.2 billion by 2030, growing at a 6.7% CAGR from 2025 to 2030. The report highlights factors such as the growing geriatric population, advancements in stem cell technology, and the integration of high-tech technologies like robotics, machine learning, and artificial intelligence with life sciences as key drivers of this growth. The market's expansion is also attributed to the incorporation of advanced technologies into biotech research and development, which has accelerated drug development processes, including those for COVID-19 treatments and vaccines.</w:t>
      </w:r>
      <w:r/>
    </w:p>
    <w:p>
      <w:pPr>
        <w:pStyle w:val="ListNumber"/>
        <w:spacing w:line="240" w:lineRule="auto"/>
        <w:ind w:left="720"/>
      </w:pPr>
      <w:r/>
      <w:hyperlink r:id="rId11">
        <w:r>
          <w:rPr>
            <w:color w:val="0000EE"/>
            <w:u w:val="single"/>
          </w:rPr>
          <w:t>https://www.grandviewresearch.com/industry-analysis/healthcare-bioconvergence-market-report</w:t>
        </w:r>
      </w:hyperlink>
      <w:r>
        <w:t xml:space="preserve"> - This report provides a comprehensive analysis of the healthcare bioconvergence market, detailing its size, share, and trends up to 2030. It forecasts the market to reach $215.2 billion by 2030, with a CAGR of 6.7% from 2025 to 2030. The report covers various applications such as drug discovery, nanorobotics for drug delivery, regenerative medicine, diagnostic and biological sensors, bioelectronics, engineered living materials, optogenetics, and precision medicine. It also offers regional insights, including North America, Europe, Asia Pacific, Latin America, and the Middle East and Africa.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rt.com/bio-digital-convergence-statistics/" TargetMode="External"/><Relationship Id="rId10" Type="http://schemas.openxmlformats.org/officeDocument/2006/relationships/hyperlink" Target="https://www.grandviewresearch.com/press-release/global-healthcare-bioconvergence-market" TargetMode="External"/><Relationship Id="rId11" Type="http://schemas.openxmlformats.org/officeDocument/2006/relationships/hyperlink" Target="https://www.grandviewresearch.com/industry-analysis/healthcare-bioconvergence-market-report" TargetMode="External"/><Relationship Id="rId12" Type="http://schemas.openxmlformats.org/officeDocument/2006/relationships/hyperlink" Target="https://www.grandviewresearch.com/horizon/outlook/healthcare-bioconvergence-market/united-states" TargetMode="External"/><Relationship Id="rId13" Type="http://schemas.openxmlformats.org/officeDocument/2006/relationships/hyperlink" Target="https://www.globenewswire.com/news-release/2026/03/04/3249443/0/en/Global-Digital-Biomarkers-Market-to-Reach-USD-15-60-Billion-by-2030-MarketsandMarke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