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Biotech Rebrands 2026: Why Nona Biosciences’ New Identity Matters for Drug Discovery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lighting a fresh, sharper look , Nona Biosciences has unveiled an updated global brand identity as it broadens from antibody discovery into integrated, platform-driven biotherapeutic development; the change matters for partners seeking AI-enhanced discovery, fully human antibody platforms, and a clearer route from idea to IND.</w:t>
      </w:r>
      <w:r/>
    </w:p>
    <w:p>
      <w:r/>
      <w:r>
        <w:t>Essential Takeaways</w:t>
      </w:r>
      <w:r/>
      <w:r/>
    </w:p>
    <w:p>
      <w:pPr>
        <w:pStyle w:val="ListBullet"/>
        <w:spacing w:line="240" w:lineRule="auto"/>
        <w:ind w:left="720"/>
      </w:pPr>
      <w:r/>
      <w:r>
        <w:rPr>
          <w:b/>
        </w:rPr>
        <w:t>New visual identity:</w:t>
      </w:r>
      <w:r>
        <w:t xml:space="preserve"> Nona refreshes its logo around a hexagonal, data-driven design that keeps the original “N” connector for continuity and scalability.</w:t>
      </w:r>
      <w:r/>
    </w:p>
    <w:p>
      <w:pPr>
        <w:pStyle w:val="ListBullet"/>
        <w:spacing w:line="240" w:lineRule="auto"/>
        <w:ind w:left="720"/>
      </w:pPr>
      <w:r/>
      <w:r>
        <w:rPr>
          <w:b/>
        </w:rPr>
        <w:t>Platform focus:</w:t>
      </w:r>
      <w:r>
        <w:t xml:space="preserve"> The company stresses an integrated I to I® framework, taking programmes from idea through preclinical work toward IND and early clinic.</w:t>
      </w:r>
      <w:r/>
    </w:p>
    <w:p>
      <w:pPr>
        <w:pStyle w:val="ListBullet"/>
        <w:spacing w:line="240" w:lineRule="auto"/>
        <w:ind w:left="720"/>
      </w:pPr>
      <w:r/>
      <w:r>
        <w:rPr>
          <w:b/>
        </w:rPr>
        <w:t>Proprietary tech:</w:t>
      </w:r>
      <w:r>
        <w:t xml:space="preserve"> Key tools include Harbour Mice® (H2L2 and HCAb), single-B cell screening, NonaCarFx™, Hu-mAtrIx™ AI, and Modalities-on-Demand®.</w:t>
      </w:r>
      <w:r/>
    </w:p>
    <w:p>
      <w:pPr>
        <w:pStyle w:val="ListBullet"/>
        <w:spacing w:line="240" w:lineRule="auto"/>
        <w:ind w:left="720"/>
      </w:pPr>
      <w:r/>
      <w:r>
        <w:rPr>
          <w:b/>
        </w:rPr>
        <w:t>Application breadth:</w:t>
      </w:r>
      <w:r>
        <w:t xml:space="preserve"> Platforms support bispecifics, CAR-T, ADCs, mRNA therapeutics and more, promising flexibility for partners.</w:t>
      </w:r>
      <w:r/>
    </w:p>
    <w:p>
      <w:pPr>
        <w:pStyle w:val="ListBullet"/>
        <w:spacing w:line="240" w:lineRule="auto"/>
        <w:ind w:left="720"/>
      </w:pPr>
      <w:r/>
      <w:r>
        <w:rPr>
          <w:b/>
        </w:rPr>
        <w:t>Practical edge:</w:t>
      </w:r>
      <w:r>
        <w:t xml:space="preserve"> The rebrand signals clearer positioning for collaborations and highlights the company’s AI and next-gen antibody capabilities.</w:t>
      </w:r>
      <w:r/>
      <w:r/>
    </w:p>
    <w:p>
      <w:pPr>
        <w:pStyle w:val="Heading2"/>
      </w:pPr>
      <w:r>
        <w:t>A sharper logo for a broader ambition</w:t>
      </w:r>
      <w:r/>
    </w:p>
    <w:p>
      <w:r/>
      <w:r>
        <w:t>Nona’s refreshed visual identity reads as a deliberate signal: this isn’t cosmetic fluff, it’s a statement of scale. The hexagon motif references biological structure and data architecture, while the preserved “N” connector nods to continuity. The new mark feels precise and engineered, a visual shorthand for a company that wants to be seen as methodical and modern.</w:t>
      </w:r>
      <w:r/>
    </w:p>
    <w:p>
      <w:r/>
      <w:r>
        <w:t>Companies often rebrand when strategy evolves, and Nona is doing just that. According to the company announcement, the update coincides with expanded integrated offerings that cover discovery through preclinical advancement toward IND. For partners this is reassuring: the look reflects more than aesthetics , it signals a unification of tools and teams.</w:t>
      </w:r>
      <w:r/>
    </w:p>
    <w:p>
      <w:r/>
      <w:r>
        <w:t>If you’re evaluating partners, notice how the new identity ties to capability claims. A tidy, scalable brand suggests readiness for larger, platform-level collaborations rather than one-off projects.</w:t>
      </w:r>
      <w:r/>
    </w:p>
    <w:p>
      <w:pPr>
        <w:pStyle w:val="Heading2"/>
      </w:pPr>
      <w:r>
        <w:t>From idea to IND: the I to I® framework explained</w:t>
      </w:r>
      <w:r/>
    </w:p>
    <w:p>
      <w:r/>
      <w:r>
        <w:t>Nona frames its work around an "I to I®" pathway , moving programs from idea toward IND evaluation. That’s shorthand for end-to-end support, and it’s meaningful when you’re commissioning early discovery work that must later translate into preclinical and regulatory milestones. The pitch is straightforward: fewer handoffs, greater continuity.</w:t>
      </w:r>
      <w:r/>
    </w:p>
    <w:p>
      <w:r/>
      <w:r>
        <w:t>This approach aligns with a market trend where biotechs offer integrated stacks rather than siloed services. For teams short on bandwidth, a partner that can shepherd projects through multiple stages can reduce delays and preserve programme knowledge. When choosing a collaborator, look for explicit pathways and shared milestones to avoid the classic “lost handover” problem.</w:t>
      </w:r>
      <w:r/>
    </w:p>
    <w:p>
      <w:pPr>
        <w:pStyle w:val="Heading2"/>
      </w:pPr>
      <w:r>
        <w:t>What the Harbour Mice® platform brings to the lab bench</w:t>
      </w:r>
      <w:r/>
    </w:p>
    <w:p>
      <w:r/>
      <w:r>
        <w:t>Harbour Mice® is front-and-centre in Nona’s toolkit, delivering fully human monoclonal antibodies in both H2L2 and heavy-chain-only (HCAb) formats. The HCAb Harbour Mice® is pitched as the first clinically validated, fully human heavy-chain-only transgenic mouse, offering ready-to-use VH single-domain antibodies.</w:t>
      </w:r>
      <w:r/>
    </w:p>
    <w:p>
      <w:r/>
      <w:r>
        <w:t>Practically, that versatility matters. Single-domain VH segments can plug into bispecifics, multispecifics, CAR-T constructs, ADCs, and even mRNA-encoded therapeutics. For research teams, the ability to source human-format binders that slot into different modalities shortens engineering cycles and reduces downstream reformulation work.</w:t>
      </w:r>
      <w:r/>
    </w:p>
    <w:p>
      <w:r/>
      <w:r>
        <w:t>If you commission antibody discovery, ask for case studies showing how leads from a platform behaved in different modalities , that’s the clearest proof the system is truly “plug-and-play.”</w:t>
      </w:r>
      <w:r/>
    </w:p>
    <w:p>
      <w:pPr>
        <w:pStyle w:val="Heading2"/>
      </w:pPr>
      <w:r>
        <w:t>AI and direct-function screening: faster leads, smarter selection</w:t>
      </w:r>
      <w:r/>
    </w:p>
    <w:p>
      <w:r/>
      <w:r>
        <w:t>Nona’s Hu-mAtrIx™ AI platform and NonaCarFx™ direct CAR-function screening are examples of marrying computation with biological screening. AI models help prioritise candidates, while function-based screens reveal practical performance early on , a useful one-two punch if you want leads that behave, not just bind.</w:t>
      </w:r>
      <w:r/>
    </w:p>
    <w:p>
      <w:r/>
      <w:r>
        <w:t>Industry reporting highlights how targeted AI speeds discovery where it’s applied judiciously. Nona’s message is that AI is used “where it matters” in antibody discovery, which is the right frame: models support decisions rather than replace wet-lab validation. For partners, that promises quicker triage of hits and fewer surprises later in development.</w:t>
      </w:r>
      <w:r/>
    </w:p>
    <w:p>
      <w:r/>
      <w:r>
        <w:t>A sensible tip: when assessing AI claims, ask how the models are validated and what biological readouts they optimise against. Transparent metrics keep the buzzword in check.</w:t>
      </w:r>
      <w:r/>
    </w:p>
    <w:p>
      <w:pPr>
        <w:pStyle w:val="Heading2"/>
      </w:pPr>
      <w:r>
        <w:t>Modalities-on-Demand and the pragmatic case for flexibility</w:t>
      </w:r>
      <w:r/>
    </w:p>
    <w:p>
      <w:r/>
      <w:r>
        <w:t>One of the more practical pieces of Nona’s puzzle is Modalities-on-Demand®, which underscores flexibility. Whether a client needs bispecifics, CAR-T, ADCs or mRNA-expressed binders, the idea is to provide the right format rather than shoehorning a lead into a preconception.</w:t>
      </w:r>
      <w:r/>
    </w:p>
    <w:p>
      <w:r/>
      <w:r>
        <w:t>That flexibility maps onto real-world drug development, where a promising binder might be best exploited in different formats depending on target biology or clinical need. Nona’s combined platform suite and preclinical services aim to reduce the friction of switching modalities.</w:t>
      </w:r>
      <w:r/>
    </w:p>
    <w:p>
      <w:r/>
      <w:r>
        <w:t>For project teams, the takeaway is simple: pick partners who can test alternatives early. It’s cheaper to pivot in discovery than during IND-enabling work.</w:t>
      </w:r>
      <w:r/>
    </w:p>
    <w:p>
      <w:pPr>
        <w:pStyle w:val="Heading2"/>
      </w:pPr>
      <w:r>
        <w:t>What this rebrand means for partners and the market</w:t>
      </w:r>
      <w:r/>
    </w:p>
    <w:p>
      <w:r/>
      <w:r>
        <w:t>Rebrands can be hollow, but this one reads as strategic. By tying a new visual identity to a clearer description of integrated services and proprietary platforms, Nona is making it easier for collaborators to understand what the company offers and where it fits in the drug-discovery ecosystem. That clarity helps accelerate decisions and could attract partners looking for platform-level engagements.</w:t>
      </w:r>
      <w:r/>
    </w:p>
    <w:p>
      <w:r/>
      <w:r>
        <w:t>As the biotherapeutics space keeps layering technologies , AI, single-domain antibodies, functional screens , companies that package those pieces coherently will likely win more complex partnerships. Nona’s refreshed identity suggests it wants that role.</w:t>
      </w:r>
      <w:r/>
    </w:p>
    <w:p>
      <w:r/>
      <w:r>
        <w:t>It’s a tidy, practical repositioning that’s worth watching if you’re shopping for a discovery-to-preclinical partner.</w:t>
      </w:r>
      <w:r/>
    </w:p>
    <w:p>
      <w:r/>
      <w:r>
        <w:t>It's a small change that can make partnerships and early programmes feel more straightforward.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0">
        <w:r>
          <w:rPr>
            <w:color w:val="0000EE"/>
            <w:u w:val="single"/>
          </w:rPr>
          <w:t>[4]</w:t>
        </w:r>
      </w:hyperlink>
      <w:r>
        <w:t xml:space="preserve">, </w:t>
      </w:r>
      <w:hyperlink r:id="rId14">
        <w:r>
          <w:rPr>
            <w:color w:val="0000EE"/>
            <w:u w:val="single"/>
          </w:rPr>
          <w:t>[5]</w:t>
        </w:r>
      </w:hyperlink>
      <w:r>
        <w:t xml:space="preserve">- Paragraph 5: </w:t>
      </w:r>
      <w:hyperlink r:id="rId12">
        <w:r>
          <w:rPr>
            <w:color w:val="0000EE"/>
            <w:u w:val="single"/>
          </w:rPr>
          <w:t>[3]</w:t>
        </w:r>
      </w:hyperlink>
      <w:r>
        <w:t xml:space="preserve">, </w:t>
      </w:r>
      <w:hyperlink r:id="rId11">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[4]</w:t>
        </w:r>
      </w:hyperlink>
      <w:r>
        <w:t xml:space="preserve">- Paragraph 7: </w:t>
      </w:r>
      <w:hyperlink r:id="rId9">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https://www.prnewswire.com/news-releases/nona-biosciences-evolves-brand-to-reflect-next-phase-of-growth-in-biotherapeutic-innovation-302762001.html</w:t>
        </w:r>
      </w:hyperlink>
      <w:r>
        <w:t xml:space="preserve"> - Please view link - unable to able to access data</w:t>
      </w:r>
      <w:r/>
    </w:p>
    <w:p>
      <w:pPr>
        <w:pStyle w:val="ListNumber"/>
        <w:spacing w:line="240" w:lineRule="auto"/>
        <w:ind w:left="720"/>
      </w:pPr>
      <w:r/>
      <w:hyperlink r:id="rId9">
        <w:r>
          <w:rPr>
            <w:color w:val="0000EE"/>
            <w:u w:val="single"/>
          </w:rPr>
          <w:t>https://www.prnewswire.com/news-releases/nona-biosciences-evolves-brand-to-reflect-next-phase-of-growth-in-biotherapeutic-innovation-302762001.html</w:t>
        </w:r>
      </w:hyperlink>
      <w:r>
        <w:t xml:space="preserve"> - Nona Biosciences, a global biotechnology company, has unveiled an updated global brand identity, marking a significant step in its expansion and evolution as a partner in biotherapeutic innovation. The refreshed identity reflects Nona's growth into a more integrated and platform-driven organisation, supporting partners from early discovery through advancement toward the clinic. Built around its I to I® framework, Nona combines proprietary technologies with scientific expertise to enable the development of next-generation therapeutics. The new logo incorporates a hexagonal framework that reflects both biological structure and data-driven design, symbolising strength, connectivity, and innovation.</w:t>
      </w:r>
      <w:r/>
    </w:p>
    <w:p>
      <w:pPr>
        <w:pStyle w:val="ListNumber"/>
        <w:spacing w:line="240" w:lineRule="auto"/>
        <w:ind w:left="720"/>
      </w:pPr>
      <w:r/>
      <w:hyperlink r:id="rId12">
        <w:r>
          <w:rPr>
            <w:color w:val="0000EE"/>
            <w:u w:val="single"/>
          </w:rPr>
          <w:t>https://nonabio.com/fully-human-antibody-discovery/</w:t>
        </w:r>
      </w:hyperlink>
      <w:r>
        <w:t xml:space="preserve"> - Nona Biosciences offers a comprehensive solution for fully human antibody discovery, including antigen preparations, immunisation, antibody screening, engineering, and functional evaluation. Their proprietary Harbour Mice® platforms generate fully human antibodies in H2L2 and heavy chain–only formats, providing flexibility beyond standard models to address challenging targets and ensure broad immune coverage. Screening options include single B cell, hybridoma, and display-based workflows, each selected based on functional, developability, and downstream readiness criteria. This approach ensures that discovery programmes start with a clear plan tailored to the biology of the target and the therapeutic format pursued.</w:t>
      </w:r>
      <w:r/>
    </w:p>
    <w:p>
      <w:pPr>
        <w:pStyle w:val="ListNumber"/>
        <w:spacing w:line="240" w:lineRule="auto"/>
        <w:ind w:left="720"/>
      </w:pPr>
      <w:r/>
      <w:hyperlink r:id="rId10">
        <w:r>
          <w:rPr>
            <w:color w:val="0000EE"/>
            <w:u w:val="single"/>
          </w:rPr>
          <w:t>https://nonabio.com/humatrix-applying-ai-where-it-matters-in-antibody-discovery/</w:t>
        </w:r>
      </w:hyperlink>
      <w:r>
        <w:t xml:space="preserve"> - Hu-mAtrIx™ is Nona Biosciences' proprietary AI platform designed to support antibody discovery and early optimisation within Harbour Mice®-based programmes. Rather than replacing established and clinically proven discovery workflows, Hu-mAtrIx™ functions as an integrated analytical layer, applying data-driven insights at key decision points to support candidate selection, prioritisation, and risk mitigation. By embedding AI directly into in vivo discovery programmes, Hu-mAtrIx™ ensures that predictive insights remain anchored in clinically relevant, experimentally validated antibody repertoires, preserving biological diversity while improving the efficiency and consistency of early-stage decision making.</w:t>
      </w:r>
      <w:r/>
    </w:p>
    <w:p>
      <w:pPr>
        <w:pStyle w:val="ListNumber"/>
        <w:spacing w:line="240" w:lineRule="auto"/>
        <w:ind w:left="720"/>
      </w:pPr>
      <w:r/>
      <w:hyperlink r:id="rId14">
        <w:r>
          <w:rPr>
            <w:color w:val="0000EE"/>
            <w:u w:val="single"/>
          </w:rPr>
          <w:t>https://www.nature.com/articles/d43747-025-00070-w</w:t>
        </w:r>
      </w:hyperlink>
      <w:r>
        <w:t xml:space="preserve"> - Nona Biosciences' core mission is to empower global therapeutic innovation by providing one-stop solutions—from antibody discovery to investigational new drug (IND)-enabling studies—for biotech and pharmaceutical companies. Their proprietary Harbour Mice® platform includes two transgenic mouse models that produce fully human antibodies, enabling the production of complex modalities, including highly targeted bispecifics and multispecifics capable of binding multiple antigens. Antibody-drug conjugates (ADCs) are another key focus, with Nona's platform producing antibodies that facilitate precise delivery of potent therapeutic agents to target cells. Nona oversees the entire discovery process, from target nomination to IND submission and even early clinical development.</w:t>
      </w:r>
      <w:r/>
    </w:p>
    <w:p>
      <w:pPr>
        <w:pStyle w:val="ListNumber"/>
        <w:spacing w:line="240" w:lineRule="auto"/>
        <w:ind w:left="720"/>
      </w:pPr>
      <w:r/>
      <w:hyperlink r:id="rId13">
        <w:r>
          <w:rPr>
            <w:color w:val="0000EE"/>
            <w:u w:val="single"/>
          </w:rPr>
          <w:t>https://nonabio.com/mrna/</w:t>
        </w:r>
      </w:hyperlink>
      <w:r>
        <w:t xml:space="preserve"> - Nona Biosciences leverages its Harbour Mice® platforms and expertise to provide a complete solution for fully human H2L2, HCAb, and bi/multi-specific antibody discovery, including antigen preparations, immunisation, antibody screening, engineering, and functional evaluation. Their innovative approach to mRNA-encoding biologics harnesses the power of mRNA technology, developing HCAbs encoded by mRNA and delivered via lipid nanoparticles (LNP). This cutting-edge technology provides a versatile and powerful method for creating therapeutic agents with enhanced efficacy and specificity, revolutionising the field of medicine by offering a breakthrough in therapeutic development.</w:t>
      </w:r>
      <w:r/>
    </w:p>
    <w:p>
      <w:pPr>
        <w:pStyle w:val="ListNumber"/>
        <w:spacing w:line="240" w:lineRule="auto"/>
        <w:ind w:left="720"/>
      </w:pPr>
      <w:r/>
      <w:hyperlink r:id="rId11">
        <w:r>
          <w:rPr>
            <w:color w:val="0000EE"/>
            <w:u w:val="single"/>
          </w:rPr>
          <w:t>https://www.prnewswire.com/news-releases/nona-biosciences-and-visterra-partner-to-advance-next-generation-biotherapeutics-for-immune-mediated-and-autoimmune-diseases-302480195.html</w:t>
        </w:r>
      </w:hyperlink>
      <w:r>
        <w:t xml:space="preserve"> - Nona Biosciences and Visterra have entered into a license agreement to advance Visterra's next-generation biotherapeutic pipeline for immune-mediated and autoimmune diseases, leveraging Nona's proprietary HCAb Harbour Mice® technology platform. Nona's HCAb Harbour Mice® platform enables the generation of fully human heavy-chain-only antibodies (HCAbs), offering key advantages such as reduced immunogenicity and enhanced versatility for next-generation biotherapeutics. This innovative platform has been clinically validated and widely recognised by global partners, supporting the development of therapeutics targeting complex diseases with improved efficacy and safety profiles.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nona-biosciences-evolves-brand-to-reflect-next-phase-of-growth-in-biotherapeutic-innovation-302762001.html" TargetMode="External"/><Relationship Id="rId10" Type="http://schemas.openxmlformats.org/officeDocument/2006/relationships/hyperlink" Target="https://nonabio.com/humatrix-applying-ai-where-it-matters-in-antibody-discovery/" TargetMode="External"/><Relationship Id="rId11" Type="http://schemas.openxmlformats.org/officeDocument/2006/relationships/hyperlink" Target="https://www.prnewswire.com/news-releases/nona-biosciences-and-visterra-partner-to-advance-next-generation-biotherapeutics-for-immune-mediated-and-autoimmune-diseases-302480195.html" TargetMode="External"/><Relationship Id="rId12" Type="http://schemas.openxmlformats.org/officeDocument/2006/relationships/hyperlink" Target="https://nonabio.com/fully-human-antibody-discovery/" TargetMode="External"/><Relationship Id="rId13" Type="http://schemas.openxmlformats.org/officeDocument/2006/relationships/hyperlink" Target="https://nonabio.com/mrna/" TargetMode="External"/><Relationship Id="rId14" Type="http://schemas.openxmlformats.org/officeDocument/2006/relationships/hyperlink" Target="https://www.nature.com/articles/d43747-025-00070-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