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Genome-Edited Fish: What Producers Need to Know About Commercialisation Pathways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headlines about edited fish, and producers are quietly preparing: genome editing is moving from lab curiosity to commercial tool in aquaculture, promising faster breeding gains, disease resistance and environmental safeguards that matter for supply, price and sustainability.</w:t>
      </w:r>
      <w:r/>
    </w:p>
    <w:p>
      <w:r/>
      <w:r>
        <w:t>Essential Takeaways</w:t>
      </w:r>
      <w:r/>
      <w:r/>
    </w:p>
    <w:p>
      <w:pPr>
        <w:pStyle w:val="ListBullet"/>
        <w:spacing w:line="240" w:lineRule="auto"/>
        <w:ind w:left="720"/>
      </w:pPr>
      <w:r/>
      <w:r>
        <w:rPr>
          <w:b/>
        </w:rPr>
        <w:t>Precision advantage:</w:t>
      </w:r>
      <w:r>
        <w:t xml:space="preserve"> Genome editing (SDN‑1) makes tiny, natural‑looking DNA changes without adding new genes, so outcomes often resemble conventional breeding. </w:t>
      </w:r>
      <w:r/>
    </w:p>
    <w:p>
      <w:pPr>
        <w:pStyle w:val="ListBullet"/>
        <w:spacing w:line="240" w:lineRule="auto"/>
        <w:ind w:left="720"/>
      </w:pPr>
      <w:r/>
      <w:r>
        <w:rPr>
          <w:b/>
        </w:rPr>
        <w:t>Faster gains:</w:t>
      </w:r>
      <w:r>
        <w:t xml:space="preserve"> Edits can deliver trait improvements in a single generation, useful for slow‑maturing species where conventional selection takes years. </w:t>
      </w:r>
      <w:r/>
    </w:p>
    <w:p>
      <w:pPr>
        <w:pStyle w:val="ListBullet"/>
        <w:spacing w:line="240" w:lineRule="auto"/>
        <w:ind w:left="720"/>
      </w:pPr>
      <w:r/>
      <w:r>
        <w:rPr>
          <w:b/>
        </w:rPr>
        <w:t>Regulatory shift:</w:t>
      </w:r>
      <w:r>
        <w:t xml:space="preserve"> Several countries are adopting risk‑based frameworks that assess the final product rather than the technique used. </w:t>
      </w:r>
      <w:r/>
    </w:p>
    <w:p>
      <w:pPr>
        <w:pStyle w:val="ListBullet"/>
        <w:spacing w:line="240" w:lineRule="auto"/>
        <w:ind w:left="720"/>
      </w:pPr>
      <w:r/>
      <w:r>
        <w:rPr>
          <w:b/>
        </w:rPr>
        <w:t>Containment options:</w:t>
      </w:r>
      <w:r>
        <w:t xml:space="preserve"> Sterility and single‑sex approaches offer biological safeguards that reduce escape and genetic risk to wild stocks. </w:t>
      </w:r>
      <w:r/>
    </w:p>
    <w:p>
      <w:pPr>
        <w:pStyle w:val="ListBullet"/>
        <w:spacing w:line="240" w:lineRule="auto"/>
        <w:ind w:left="720"/>
      </w:pPr>
      <w:r/>
      <w:r>
        <w:rPr>
          <w:b/>
        </w:rPr>
        <w:t>Path to market:</w:t>
      </w:r>
      <w:r>
        <w:t xml:space="preserve"> Developers need a bespoke regulatory strategy, solid science dossiers, and stakeholder engagement to accelerate approval and acceptance.</w:t>
      </w:r>
      <w:r/>
      <w:r/>
    </w:p>
    <w:p>
      <w:pPr>
        <w:pStyle w:val="Heading2"/>
      </w:pPr>
      <w:r>
        <w:t>Why genome editing feels different to producers (and smells a bit like progress)</w:t>
      </w:r>
      <w:r/>
    </w:p>
    <w:p>
      <w:r/>
      <w:r>
        <w:t>Genome editing offers a tactile upside you can almost sense: edits are small, targeted and predictable, so the results feel familiar rather than foreign. According to research into modern breeding technologies, methods like SDN‑1 produce changes indistinguishable from natural mutations or conventional selection, which is why regulators and producers treat them differently. For farmers, that translates into a technology that accelerates gains they already aim for , faster growth, disease resilience, or tolerance to environmental stress , without the longer timelines of classic programmes.</w:t>
      </w:r>
      <w:r/>
    </w:p>
    <w:p>
      <w:r/>
      <w:r>
        <w:t>Behind this is a steady body of science showing genome editing’s capacity to make precise changes safely and repeatably. That’s why companies working with these tools are pitching them as “precision breeding” rather than transgenic engineering, and why the language matters for regulators, retailers and consumers.</w:t>
      </w:r>
      <w:r/>
    </w:p>
    <w:p>
      <w:pPr>
        <w:pStyle w:val="Heading2"/>
      </w:pPr>
      <w:r>
        <w:t>What SDN‑1 actually does , simple edits, big outcomes</w:t>
      </w:r>
      <w:r/>
    </w:p>
    <w:p>
      <w:r/>
      <w:r>
        <w:t>SDN‑1, or Site‑Directed Nuclease‑1, creates a neat cut at a chosen DNA site and relies on the cell’s own repair to introduce a small change. No foreign DNA is inserted, so the edited animal’s genome is altered in ways that could occur naturally. That’s a key practical distinction: you get the benefit of targeted change , say a mutation that enhances disease resistance , without bringing in genes from other species.</w:t>
      </w:r>
      <w:r/>
    </w:p>
    <w:p>
      <w:r/>
      <w:r>
        <w:t>From a breeder’s perspective this is golden: traits that were previously slow or near‑impossible to shift through selection become accessible, and you can stack improvements in fewer generations. It’s especially valuable in aquaculture species with long generation intervals, where shaving years off a breeding cycle has real economic impact.</w:t>
      </w:r>
      <w:r/>
    </w:p>
    <w:p>
      <w:pPr>
        <w:pStyle w:val="Heading2"/>
      </w:pPr>
      <w:r>
        <w:t>Regulation is evolving , product, not process, is the new mantra</w:t>
      </w:r>
      <w:r/>
    </w:p>
    <w:p>
      <w:r/>
      <w:r>
        <w:t>Regulatory bodies are increasingly favouring a risk‑based approach that evaluates the characteristics of the final animal rather than focusing on the tool that made it. Countries including the United States, Canada, Brazil, Japan and Australia are already moving towards frameworks that can exempt certain SDN‑1 edits from the strictest GMO controls when no novel DNA remains.</w:t>
      </w:r>
      <w:r/>
    </w:p>
    <w:p>
      <w:r/>
      <w:r>
        <w:t>That shift is practical: agencies like the FDA are developing guidelines for intentional genomic alterations, and scientific reviews are informing policy by comparing genome‑edited outcomes to conventional variation. For producers, this means the path to market is becoming more predictable, but it still requires a tailored dossier, transparent monitoring plans and, often, post‑market compliance measures.</w:t>
      </w:r>
      <w:r/>
    </w:p>
    <w:p>
      <w:pPr>
        <w:pStyle w:val="Heading2"/>
      </w:pPr>
      <w:r>
        <w:t>How biological containment can ease environmental concerns</w:t>
      </w:r>
      <w:r/>
    </w:p>
    <w:p>
      <w:r/>
      <w:r>
        <w:t>One of the trickiest worries for consumers and regulators is what happens if farmed fish escape. Practical tools such as Sterility+ , which delivers complete reproductive sterility , are being developed as robust biological containment measures. Sterility reduces the risk of edited traits spreading into wild populations and can be an effective complement to physical containment and farm management.</w:t>
      </w:r>
      <w:r/>
    </w:p>
    <w:p>
      <w:r/>
      <w:r>
        <w:t>Beyond sterility, single‑sex populations and edits that reduce fitness in the wild are other biological strategies that can help manage ecological risk. Producers should think of these options as risk‑mitigation components that can strengthen a regulatory filing and reassure downstream buyers and communities.</w:t>
      </w:r>
      <w:r/>
    </w:p>
    <w:p>
      <w:pPr>
        <w:pStyle w:val="Heading2"/>
      </w:pPr>
      <w:r>
        <w:t>Commercial rollout: what companies should do now</w:t>
      </w:r>
      <w:r/>
    </w:p>
    <w:p>
      <w:r/>
      <w:r>
        <w:t>If you’re a breeder or producer thinking about genome‑edited traits, start with a regulatory and stakeholder playbook. Develop a product‑centred regulatory strategy that accounts for where animals are reared and sold, prepare rigorous scientific dossiers, and plan for transparent engagement with regulators, customers and the public. Companies that invest early in regulatory clarity and communication will be best placed to scale once approvals come through.</w:t>
      </w:r>
      <w:r/>
    </w:p>
    <w:p>
      <w:r/>
      <w:r>
        <w:t>Don’t forget the technical side: integrate editing within existing breeding programmes rather than replacing them. That hybrid approach preserves valuable genetic backgrounds while accelerating improvement, and it makes adoption less disruptive to farm practices.</w:t>
      </w:r>
      <w:r/>
    </w:p>
    <w:p>
      <w:pPr>
        <w:pStyle w:val="Heading2"/>
      </w:pPr>
      <w:r>
        <w:t>Looking ahead: what the next five years might bring</w:t>
      </w:r>
      <w:r/>
    </w:p>
    <w:p>
      <w:r/>
      <w:r>
        <w:t>Expect genome editing to shift from demonstration projects to routine breeding tools in aquaculture, especially SDN‑1 edits that fit the risk‑based regulatory mould. As frameworks converge and practical containment measures prove reliable, edited strains addressing disease, growth and environmental tolerance are likely to reach commercial scale.</w:t>
      </w:r>
      <w:r/>
    </w:p>
    <w:p>
      <w:r/>
      <w:r>
        <w:t>This isn’t a magic bullet , traditional breeding, husbandry and biosecurity will remain essential , but genome editing looks set to be a powerful new instrument in the aquaculture toolkit. For producers and consumers alike, that could mean more resilient supply, better fish welfare and a lower environmental footprint.</w:t>
      </w:r>
      <w:r/>
    </w:p>
    <w:p>
      <w:r/>
      <w:r>
        <w:t>It's a small technological step that could make every farmed fish a steadier bet for farmers, regulators and shoppers.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1">
        <w:r>
          <w:rPr>
            <w:color w:val="0000EE"/>
            <w:u w:val="single"/>
          </w:rPr>
          <w:t>[4]</w:t>
        </w:r>
      </w:hyperlink>
      <w:r>
        <w:t xml:space="preserve">- Paragraph 4: </w:t>
      </w:r>
      <w:hyperlink r:id="rId15">
        <w:r>
          <w:rPr>
            <w:color w:val="0000EE"/>
            <w:u w:val="single"/>
          </w:rPr>
          <w:t>[7]</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https://aquatechcenter.com/genomics/regulatory-pathways-and-the-road-to-commercialization-of-genome-editing-in-aquaculture-a-conversation-with-debbie-plouffe-of-cat/</w:t>
        </w:r>
      </w:hyperlink>
      <w:r>
        <w:t xml:space="preserve"> - Please view link - unable to able to access data</w:t>
      </w:r>
      <w:r/>
    </w:p>
    <w:p>
      <w:pPr>
        <w:pStyle w:val="ListNumber"/>
        <w:spacing w:line="240" w:lineRule="auto"/>
        <w:ind w:left="720"/>
      </w:pPr>
      <w:r/>
      <w:hyperlink r:id="rId10">
        <w:r>
          <w:rPr>
            <w:color w:val="0000EE"/>
            <w:u w:val="single"/>
          </w:rPr>
          <w:t>https://www.sciencedirect.com/science/article/pii/S0044848626002541</w:t>
        </w:r>
      </w:hyperlink>
      <w:r>
        <w:t xml:space="preserve"> - This article discusses the role of genome editing in aquaculture, highlighting its potential to accelerate genetic gains and improve product quality. It emphasizes the importance of consumer trust and regulatory alignment for the successful commercial deployment of genome-edited fish. The paper also reviews the use of site-directed nucleases (SDNs) in aquaculture, noting that SDN-1 approaches, which do not introduce foreign DNA, are less likely to be regulated as genetically modified organisms (GMOs) in certain countries, facilitating faster market introduction.</w:t>
      </w:r>
      <w:r/>
    </w:p>
    <w:p>
      <w:pPr>
        <w:pStyle w:val="ListNumber"/>
        <w:spacing w:line="240" w:lineRule="auto"/>
        <w:ind w:left="720"/>
      </w:pPr>
      <w:r/>
      <w:hyperlink r:id="rId12">
        <w:r>
          <w:rPr>
            <w:color w:val="0000EE"/>
            <w:u w:val="single"/>
          </w:rPr>
          <w:t>https://www.mdpi.com/1467-3045/47/12/1013</w:t>
        </w:r>
      </w:hyperlink>
      <w:r>
        <w:t xml:space="preserve"> - This study provides an overview of genome-edited fish in aquaculture, focusing on the classification of genome-editing approaches into SDN-1, SDN-2, and SDN-3 categories. It explains that SDN-1 edits create small insertions or deletions without introducing foreign DNA, making them less likely to be regulated as GMOs in some jurisdictions. The article also discusses the implications of these classifications for commercialization and public perception, noting that SDN-1 organisms are often excluded from GMO regulations in countries like Japan, Argentina, and Brazil.</w:t>
      </w:r>
      <w:r/>
    </w:p>
    <w:p>
      <w:pPr>
        <w:pStyle w:val="ListNumber"/>
        <w:spacing w:line="240" w:lineRule="auto"/>
        <w:ind w:left="720"/>
      </w:pPr>
      <w:r/>
      <w:hyperlink r:id="rId11">
        <w:r>
          <w:rPr>
            <w:color w:val="0000EE"/>
            <w:u w:val="single"/>
          </w:rPr>
          <w:t>https://pmc.ncbi.nlm.nih.gov/articles/PMC8316157/</w:t>
        </w:r>
      </w:hyperlink>
      <w:r>
        <w:t xml:space="preserve"> - This paper examines the regulatory landscape for genome-edited agricultural plants across various countries and regions. It highlights that the commercialization of genome-edited crops may or may not require approval from regulatory authorities, depending on the jurisdiction. The article underscores the need for science-based safety regulations to fully benefit from genome editing in agriculture and food production, particularly for commodity crops that are significant in international trade.</w:t>
      </w:r>
      <w:r/>
    </w:p>
    <w:p>
      <w:pPr>
        <w:pStyle w:val="ListNumber"/>
        <w:spacing w:line="240" w:lineRule="auto"/>
        <w:ind w:left="720"/>
      </w:pPr>
      <w:r/>
      <w:hyperlink r:id="rId14">
        <w:r>
          <w:rPr>
            <w:color w:val="0000EE"/>
            <w:u w:val="single"/>
          </w:rPr>
          <w:t>https://www.fda.gov/animal-veterinary/biotechnology-products-cvm-animals-and-animal-food/intentional-genomic-alterations-igas-animals</w:t>
        </w:r>
      </w:hyperlink>
      <w:r>
        <w:t xml:space="preserve"> - The FDA provides information on intentional genomic alterations (IGAs) in animals, which are changes to an animal's genomic DNA produced using modern molecular technologies. The page outlines the various applications of IGAs, including improvements in human health, animal health, and enhanced production and food quality. It also details the FDA's risk-based regulatory approach to overseeing heritable IGAs in animals, as described in Guidance for Industry #187A and #187B.</w:t>
      </w:r>
      <w:r/>
    </w:p>
    <w:p>
      <w:pPr>
        <w:pStyle w:val="ListNumber"/>
        <w:spacing w:line="240" w:lineRule="auto"/>
        <w:ind w:left="720"/>
      </w:pPr>
      <w:r/>
      <w:hyperlink r:id="rId13">
        <w:r>
          <w:rPr>
            <w:color w:val="0000EE"/>
            <w:u w:val="single"/>
          </w:rPr>
          <w:t>https://www.mdpi.com/2075-1729/15/12/1831</w:t>
        </w:r>
      </w:hyperlink>
      <w:r>
        <w:t xml:space="preserve"> - This article discusses the molecular regulation of growth in aquaculture, focusing on genome manipulation across selected aquaculture organisms. It provides a comprehensive overview of editing technologies and identifies genes suitable for editing to improve economic traits in aquaculture fish species. The paper also addresses global regulatory frameworks and implementation challenges, noting that regulatory landscapes for genome-edited aquaculture products vary substantially across regions, creating barriers to international technology transfer and commercial deployment.</w:t>
      </w:r>
      <w:r/>
    </w:p>
    <w:p>
      <w:pPr>
        <w:pStyle w:val="ListNumber"/>
        <w:spacing w:line="240" w:lineRule="auto"/>
        <w:ind w:left="720"/>
      </w:pPr>
      <w:r/>
      <w:hyperlink r:id="rId15">
        <w:r>
          <w:rPr>
            <w:color w:val="0000EE"/>
            <w:u w:val="single"/>
          </w:rPr>
          <w:t>https://cabiagbio.biomedcentral.com/articles/10.1186/s43170-021-00066-3</w:t>
        </w:r>
      </w:hyperlink>
      <w:r>
        <w:t xml:space="preserve"> - This study explores genome editing in cultured fishes, detailing the use of site-directed nucleases (SDNs) to make targeted DNA breaks. It categorizes SDN applications into three types: SDN-1, SDN-2, and SDN-3, based on the presence or absence of foreign DNA. The article provides insights into the mechanisms of these editing tools and their potential applications in aquaculture, highlighting the precision and specificity of genome editing techniques in fish species.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quatechcenter.com/genomics/regulatory-pathways-and-the-road-to-commercialization-of-genome-editing-in-aquaculture-a-conversation-with-debbie-plouffe-of-cat/" TargetMode="External"/><Relationship Id="rId10" Type="http://schemas.openxmlformats.org/officeDocument/2006/relationships/hyperlink" Target="https://www.sciencedirect.com/science/article/pii/S0044848626002541" TargetMode="External"/><Relationship Id="rId11" Type="http://schemas.openxmlformats.org/officeDocument/2006/relationships/hyperlink" Target="https://pmc.ncbi.nlm.nih.gov/articles/PMC8316157/" TargetMode="External"/><Relationship Id="rId12" Type="http://schemas.openxmlformats.org/officeDocument/2006/relationships/hyperlink" Target="https://www.mdpi.com/1467-3045/47/12/1013" TargetMode="External"/><Relationship Id="rId13" Type="http://schemas.openxmlformats.org/officeDocument/2006/relationships/hyperlink" Target="https://www.mdpi.com/2075-1729/15/12/1831" TargetMode="External"/><Relationship Id="rId14" Type="http://schemas.openxmlformats.org/officeDocument/2006/relationships/hyperlink" Target="https://www.fda.gov/animal-veterinary/biotechnology-products-cvm-animals-and-animal-food/intentional-genomic-alterations-igas-animals" TargetMode="External"/><Relationship Id="rId15" Type="http://schemas.openxmlformats.org/officeDocument/2006/relationships/hyperlink" Target="https://cabiagbio.biomedcentral.com/articles/10.1186/s43170-021-0006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