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Microfluidic Components for Drug Development and Diagnostics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designers are turning to precision microfluidic components as the unseen backbone of next‑generation diagnostics and miniaturised drug screens, because tiny pumps, valves and sensors make a palm‑sized lab actually work , and that matters for faster, cheaper, near‑patient tests and smarter pharma R&amp;D.</w:t>
      </w:r>
      <w:r/>
    </w:p>
    <w:p>
      <w:r/>
      <w:r>
        <w:t>Essential Takeaways</w:t>
      </w:r>
      <w:r/>
      <w:r/>
    </w:p>
    <w:p>
      <w:pPr>
        <w:pStyle w:val="ListBullet"/>
        <w:spacing w:line="240" w:lineRule="auto"/>
        <w:ind w:left="720"/>
      </w:pPr>
      <w:r/>
      <w:r>
        <w:rPr>
          <w:b/>
        </w:rPr>
        <w:t>Market size:</w:t>
      </w:r>
      <w:r>
        <w:t xml:space="preserve"> The global microfluidic components market was about USD 237m in 2025 and is forecast to reach roughly USD 336m by 2032, growing at about 5.2% CAGR. </w:t>
      </w:r>
      <w:r/>
    </w:p>
    <w:p>
      <w:pPr>
        <w:pStyle w:val="ListBullet"/>
        <w:spacing w:line="240" w:lineRule="auto"/>
        <w:ind w:left="720"/>
      </w:pPr>
      <w:r/>
      <w:r>
        <w:rPr>
          <w:b/>
        </w:rPr>
        <w:t>Core tech:</w:t>
      </w:r>
      <w:r>
        <w:t xml:space="preserve"> Components include micropumps, microvalves, micromixers, filters and flow sensors designed for precise, low‑loss fluid control. They feel sleek, quiet and very precise in operation. </w:t>
      </w:r>
      <w:r/>
    </w:p>
    <w:p>
      <w:pPr>
        <w:pStyle w:val="ListBullet"/>
        <w:spacing w:line="240" w:lineRule="auto"/>
        <w:ind w:left="720"/>
      </w:pPr>
      <w:r/>
      <w:r>
        <w:rPr>
          <w:b/>
        </w:rPr>
        <w:t>Primary drivers:</w:t>
      </w:r>
      <w:r>
        <w:t xml:space="preserve"> Medical diagnostics and pharmaceuticals lead demand , point‑of‑care tests and organ‑on‑a‑chip platforms need reliable, single‑use fluidics. </w:t>
      </w:r>
      <w:r/>
    </w:p>
    <w:p>
      <w:pPr>
        <w:pStyle w:val="ListBullet"/>
        <w:spacing w:line="240" w:lineRule="auto"/>
        <w:ind w:left="720"/>
      </w:pPr>
      <w:r/>
      <w:r>
        <w:rPr>
          <w:b/>
        </w:rPr>
        <w:t>Competitive shift:</w:t>
      </w:r>
      <w:r>
        <w:t xml:space="preserve"> Suppliers are moving from selling parts to offering integrated, smart sub‑systems with closed‑loop control and software logging. </w:t>
      </w:r>
      <w:r/>
    </w:p>
    <w:p>
      <w:pPr>
        <w:pStyle w:val="ListBullet"/>
        <w:spacing w:line="240" w:lineRule="auto"/>
        <w:ind w:left="720"/>
      </w:pPr>
      <w:r/>
      <w:r>
        <w:rPr>
          <w:b/>
        </w:rPr>
        <w:t>Practical win:</w:t>
      </w:r>
      <w:r>
        <w:t xml:space="preserve"> Choosing components with active flow control reduces failure modes like chip delamination or clogged channels, so your prototype stands a better chance of scaling.</w:t>
      </w:r>
      <w:r/>
      <w:r/>
    </w:p>
    <w:p>
      <w:pPr>
        <w:pStyle w:val="Heading2"/>
      </w:pPr>
      <w:r>
        <w:t>Why these tiny parts suddenly matter more than ever</w:t>
      </w:r>
      <w:r/>
    </w:p>
    <w:p>
      <w:r/>
      <w:r>
        <w:t xml:space="preserve">Microfluidic components are the little machines that make a lab‑on‑a‑chip behave like a lab, controlling microlitres with surgical precision and almost no sample loss. That quiet, clinical feeling of control is what turns a prototype into a product. According to market analysis, this capability underpins the whole miniaturisation trend in diagnostics and drug screening. </w:t>
      </w:r>
      <w:hyperlink r:id="rId9">
        <w:r>
          <w:rPr>
            <w:color w:val="0000EE"/>
            <w:u w:val="single"/>
          </w:rPr>
          <w:t>[2]</w:t>
        </w:r>
      </w:hyperlink>
      <w:r>
        <w:t xml:space="preserve">, </w:t>
      </w:r>
      <w:hyperlink r:id="rId10">
        <w:r>
          <w:rPr>
            <w:color w:val="0000EE"/>
            <w:u w:val="single"/>
          </w:rPr>
          <w:t>[3]</w:t>
        </w:r>
      </w:hyperlink>
      <w:r/>
    </w:p>
    <w:p>
      <w:r/>
      <w:r>
        <w:t xml:space="preserve">Design teams used to bolt on syringe pumps and tubing; now they face unacceptable dead volumes and leak risks that kill decentralised test concepts. The result is a growing demand for integrated micro‑scale solutions that are compact, low‑profile and reliable. If you’ve ever watched a benchtop demo fail because of a fiddly connection, you’ll appreciate why. </w:t>
      </w:r>
      <w:hyperlink r:id="rId9">
        <w:r>
          <w:rPr>
            <w:color w:val="0000EE"/>
            <w:u w:val="single"/>
          </w:rPr>
          <w:t>[2]</w:t>
        </w:r>
      </w:hyperlink>
      <w:r>
        <w:t xml:space="preserve">, </w:t>
      </w:r>
      <w:hyperlink r:id="rId11">
        <w:r>
          <w:rPr>
            <w:color w:val="0000EE"/>
            <w:u w:val="single"/>
          </w:rPr>
          <w:t>[6]</w:t>
        </w:r>
      </w:hyperlink>
      <w:r/>
    </w:p>
    <w:p>
      <w:pPr>
        <w:pStyle w:val="Heading2"/>
      </w:pPr>
      <w:r>
        <w:t>The building blocks: what to pick for your project</w:t>
      </w:r>
      <w:r/>
    </w:p>
    <w:p>
      <w:r/>
      <w:r>
        <w:t xml:space="preserve">Think of microfluidic components as a parts list that decides how your assay behaves: piezoelectric or peristaltic micropumps, rocker or membrane microvalves, micromixers for rapid reagent blending, and precision flow sensors for closed‑loop control. Each has a feel , some are whisper‑quiet, others click reassuringly when actuated. </w:t>
      </w:r>
      <w:hyperlink r:id="rId9">
        <w:r>
          <w:rPr>
            <w:color w:val="0000EE"/>
            <w:u w:val="single"/>
          </w:rPr>
          <w:t>[2]</w:t>
        </w:r>
      </w:hyperlink>
      <w:r>
        <w:t xml:space="preserve">, </w:t>
      </w:r>
      <w:hyperlink r:id="rId10">
        <w:r>
          <w:rPr>
            <w:color w:val="0000EE"/>
            <w:u w:val="single"/>
          </w:rPr>
          <w:t>[3]</w:t>
        </w:r>
      </w:hyperlink>
      <w:r/>
    </w:p>
    <w:p>
      <w:r/>
      <w:r>
        <w:t xml:space="preserve">Practically, choose pumps and valves rated for your fluid’s viscosity and particulate load; prefer components with integrated sensors if you need long unattended runs. For disposable diagnostics, favour low‑cost, single‑use materials and blister‑style reagent packs to avoid contamination. </w:t>
      </w:r>
      <w:hyperlink r:id="rId9">
        <w:r>
          <w:rPr>
            <w:color w:val="0000EE"/>
            <w:u w:val="single"/>
          </w:rPr>
          <w:t>[2]</w:t>
        </w:r>
      </w:hyperlink>
      <w:r>
        <w:t xml:space="preserve">, </w:t>
      </w:r>
      <w:hyperlink r:id="rId12">
        <w:r>
          <w:rPr>
            <w:color w:val="0000EE"/>
            <w:u w:val="single"/>
          </w:rPr>
          <w:t>[7]</w:t>
        </w:r>
      </w:hyperlink>
      <w:r/>
    </w:p>
    <w:p>
      <w:pPr>
        <w:pStyle w:val="Heading2"/>
      </w:pPr>
      <w:r>
        <w:t>Who’s competing and what’s changing in supply</w:t>
      </w:r>
      <w:r/>
    </w:p>
    <w:p>
      <w:r/>
      <w:r>
        <w:t xml:space="preserve">The market is a mash‑up of industrial automation giants and niche microfluidic specialists. Big names from pneumatics are adapting their precision skills to micro‑scale needs, while startups focus on fluidic ecosystems with software‑driven control. This shift to “smart sub‑systems” means buyers are increasingly getting software, sensors and analytics bundled with hardware. </w:t>
      </w:r>
      <w:hyperlink r:id="rId9">
        <w:r>
          <w:rPr>
            <w:color w:val="0000EE"/>
            <w:u w:val="single"/>
          </w:rPr>
          <w:t>[2]</w:t>
        </w:r>
      </w:hyperlink>
      <w:r>
        <w:t xml:space="preserve">, </w:t>
      </w:r>
      <w:hyperlink r:id="rId10">
        <w:r>
          <w:rPr>
            <w:color w:val="0000EE"/>
            <w:u w:val="single"/>
          </w:rPr>
          <w:t>[3]</w:t>
        </w:r>
      </w:hyperlink>
      <w:r/>
    </w:p>
    <w:p>
      <w:r/>
      <w:r>
        <w:t xml:space="preserve">That matters because closed‑loop controllers rapidly compensate for clogging or viscosity changes, protecting delicate chips and cells. For regulated medical devices this also simplifies audit trails and compliance. Expect supplier selection to hinge on system reliability and support, not just component price. </w:t>
      </w:r>
      <w:hyperlink r:id="rId9">
        <w:r>
          <w:rPr>
            <w:color w:val="0000EE"/>
            <w:u w:val="single"/>
          </w:rPr>
          <w:t>[2]</w:t>
        </w:r>
      </w:hyperlink>
      <w:r>
        <w:t xml:space="preserve">, </w:t>
      </w:r>
      <w:hyperlink r:id="rId10">
        <w:r>
          <w:rPr>
            <w:color w:val="0000EE"/>
            <w:u w:val="single"/>
          </w:rPr>
          <w:t>[3]</w:t>
        </w:r>
      </w:hyperlink>
      <w:r/>
    </w:p>
    <w:p>
      <w:pPr>
        <w:pStyle w:val="Heading2"/>
      </w:pPr>
      <w:r>
        <w:t>Applications driving demand: diagnostics and organ‑on‑a‑chip</w:t>
      </w:r>
      <w:r/>
    </w:p>
    <w:p>
      <w:r/>
      <w:r>
        <w:t xml:space="preserve">Medical diagnostics , especially near‑patient PCR and immunoassay cartridges , are the fastest growing segment, since a portable test is only as good as its internal fluid choreography. Meanwhile, pharmaceuticals are buying into dynamic cell assays and perfusion systems for organ‑on‑a‑chip work, which need sterile, long‑duration fluid handling. These application trends are the real engines behind the market growth projections. </w:t>
      </w:r>
      <w:hyperlink r:id="rId9">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p>
    <w:p>
      <w:r/>
      <w:r>
        <w:t xml:space="preserve">If you’re building assays, think about the timeline: diagnostics demand rapid, low‑cost single use; pharma projects want longevity and sterile consumables. That difference will guide material choices and supplier contracts. </w:t>
      </w:r>
      <w:hyperlink r:id="rId9">
        <w:r>
          <w:rPr>
            <w:color w:val="0000EE"/>
            <w:u w:val="single"/>
          </w:rPr>
          <w:t>[2]</w:t>
        </w:r>
      </w:hyperlink>
      <w:r>
        <w:t xml:space="preserve">, </w:t>
      </w:r>
      <w:hyperlink r:id="rId12">
        <w:r>
          <w:rPr>
            <w:color w:val="0000EE"/>
            <w:u w:val="single"/>
          </w:rPr>
          <w:t>[7]</w:t>
        </w:r>
      </w:hyperlink>
      <w:r/>
    </w:p>
    <w:p>
      <w:pPr>
        <w:pStyle w:val="Heading2"/>
      </w:pPr>
      <w:r>
        <w:t>How to choose components for scale and reliability</w:t>
      </w:r>
      <w:r/>
    </w:p>
    <w:p>
      <w:r/>
      <w:r>
        <w:t xml:space="preserve">First, map your assay workflow and identify where precision matters most , mixing, metering, or transport. Then pick components with matched bandwidth, chemical compatibility and clog tolerance. Prefer vendors offering reference designs or engineering support; integration headaches are the common killer of time‑to‑market. </w:t>
      </w:r>
      <w:hyperlink r:id="rId9">
        <w:r>
          <w:rPr>
            <w:color w:val="0000EE"/>
            <w:u w:val="single"/>
          </w:rPr>
          <w:t>[2]</w:t>
        </w:r>
      </w:hyperlink>
      <w:r>
        <w:t xml:space="preserve">, </w:t>
      </w:r>
      <w:hyperlink r:id="rId10">
        <w:r>
          <w:rPr>
            <w:color w:val="0000EE"/>
            <w:u w:val="single"/>
          </w:rPr>
          <w:t>[3]</w:t>
        </w:r>
      </w:hyperlink>
      <w:r/>
    </w:p>
    <w:p>
      <w:r/>
      <w:r>
        <w:t xml:space="preserve">Also consider the move from discrete parts to intelligent modules. If you need traceability or automated compensation, invest in closed‑loop pumps and sensors early; they cost more but save months of validation and customer returns. </w:t>
      </w:r>
      <w:hyperlink r:id="rId9">
        <w:r>
          <w:rPr>
            <w:color w:val="0000EE"/>
            <w:u w:val="single"/>
          </w:rPr>
          <w:t>[2]</w:t>
        </w:r>
      </w:hyperlink>
      <w:r>
        <w:t xml:space="preserve">, </w:t>
      </w:r>
      <w:hyperlink r:id="rId10">
        <w:r>
          <w:rPr>
            <w:color w:val="0000EE"/>
            <w:u w:val="single"/>
          </w:rPr>
          <w:t>[3]</w:t>
        </w:r>
      </w:hyperlink>
      <w:r/>
    </w:p>
    <w:p>
      <w:r/>
      <w:r>
        <w:t>It's a small change that can make every micro‑assay safer and more scalable.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https://www.openpr.com/news/4502254/microfluidic-component-industry-outlook-2026-2032-strategic</w:t>
        </w:r>
      </w:hyperlink>
      <w:r>
        <w:t xml:space="preserve"> - Please view link - unable to able to access data</w:t>
      </w:r>
      <w:r/>
    </w:p>
    <w:p>
      <w:pPr>
        <w:pStyle w:val="ListNumber"/>
        <w:spacing w:line="240" w:lineRule="auto"/>
        <w:ind w:left="720"/>
      </w:pPr>
      <w:r/>
      <w:hyperlink r:id="rId9">
        <w:r>
          <w:rPr>
            <w:color w:val="0000EE"/>
            <w:u w:val="single"/>
          </w:rPr>
          <w:t>https://www.openpr.com/news/4502254/microfluidic-component-industry-outlook-2026-2032-strategic</w:t>
        </w:r>
      </w:hyperlink>
      <w:r>
        <w:t xml:space="preserve"> - This press release from QY Research Inc. provides a comprehensive analysis of the global Microfluidic Components market, estimating its value at USD 237 million in 2025 and projecting it to reach USD 336 million by 2032, with a compound annual growth rate (CAGR) of 5.2%. The report highlights the critical role of microfluidic components in enabling the miniaturisation of complex laboratory protocols into lab-on-a-chip devices, which are foundational in medical diagnostics, drug discovery, and environmental monitoring. It also discusses the shift from passive capillary-flow systems to active, programmable fluidic circuits achieved through advanced micro-actuation, emphasising the importance of precision and reliability in these components for the commercial viability of diagnostic tests.</w:t>
      </w:r>
      <w:r/>
    </w:p>
    <w:p>
      <w:pPr>
        <w:pStyle w:val="ListNumber"/>
        <w:spacing w:line="240" w:lineRule="auto"/>
        <w:ind w:left="720"/>
      </w:pPr>
      <w:r/>
      <w:hyperlink r:id="rId10">
        <w:r>
          <w:rPr>
            <w:color w:val="0000EE"/>
            <w:u w:val="single"/>
          </w:rPr>
          <w:t>https://www.qyresearch.com/reports/6085708/microfluidic-components</w:t>
        </w:r>
      </w:hyperlink>
      <w:r>
        <w:t xml:space="preserve"> - This report from QY Research Inc. offers an in-depth analysis of the global Microfluidic Components market, including market size, share, demand, industry development status, and forecasts for the next few years. It provides insights into the competitive dynamics of the market, highlighting key industry participants such as SMC, IDEX, Bürkert, Parker Hannifin, Lee, Fluigent, Elveflow, Dolomite Microfluidics, and Bartels Mikrotechnik. The report also discusses the accelerating shift from selling discrete parts to offering fully integrated, intelligent microfluidic flow control sub-systems, and the role of these components in the medical diagnostics and pharmaceutical manufacturing sectors.</w:t>
      </w:r>
      <w:r/>
    </w:p>
    <w:p>
      <w:pPr>
        <w:pStyle w:val="ListNumber"/>
        <w:spacing w:line="240" w:lineRule="auto"/>
        <w:ind w:left="720"/>
      </w:pPr>
      <w:r/>
      <w:hyperlink r:id="rId13">
        <w:r>
          <w:rPr>
            <w:color w:val="0000EE"/>
            <w:u w:val="single"/>
          </w:rPr>
          <w:t>https://www.qyresearch.com</w:t>
        </w:r>
      </w:hyperlink>
      <w:r>
        <w:t xml:space="preserve"> - QY Research Inc. is a global market research and consulting company founded in California, USA, in 2007. With over 19 years of experience and a dedicated research team, the company provides market research reports, custom reports, commissioned research, IPO consultancy, and business plans. They have established offices in seven countries, including the United States, Germany, Switzerland, Japan, Korea, China, and India, and have business partners in over 30 countries. QY Research Inc. has provided industrial information services to more than 60,000 companies worldwide.</w:t>
      </w:r>
      <w:r/>
    </w:p>
    <w:p>
      <w:pPr>
        <w:pStyle w:val="ListNumber"/>
        <w:spacing w:line="240" w:lineRule="auto"/>
        <w:ind w:left="720"/>
      </w:pPr>
      <w:r/>
      <w:hyperlink r:id="rId14">
        <w:r>
          <w:rPr>
            <w:color w:val="0000EE"/>
            <w:u w:val="single"/>
          </w:rPr>
          <w:t>https://www.qyresearch.co.jp</w:t>
        </w:r>
      </w:hyperlink>
      <w:r>
        <w:t xml:space="preserve"> - QY Research Co., Ltd. is a subsidiary of QY Research Inc., based in Japan. The company offers market research and consulting services, providing insights into various industries and markets. Their services include market research reports, custom reports, commissioned research, and business plans. QY Research Co., Ltd. leverages the expertise and resources of its parent company to deliver comprehensive and accurate market intelligence to clients in Japan and the Asia-Pacific region.</w:t>
      </w:r>
      <w:r/>
    </w:p>
    <w:p>
      <w:pPr>
        <w:pStyle w:val="ListNumber"/>
        <w:spacing w:line="240" w:lineRule="auto"/>
        <w:ind w:left="720"/>
      </w:pPr>
      <w:r/>
      <w:hyperlink r:id="rId11">
        <w:r>
          <w:rPr>
            <w:color w:val="0000EE"/>
            <w:u w:val="single"/>
          </w:rPr>
          <w:t>https://www.openpr.com/news/4350485/microfluidics-market-to-reach-us-73-97-billion-by-2032-at-12-6</w:t>
        </w:r>
      </w:hyperlink>
      <w:r>
        <w:t xml:space="preserve"> - This press release from DataM Intelligence 4 Market Research LLP discusses the growth of the microfluidics market, which reached US$ 28.38 billion in 2024 and is expected to reach US$ 73.97 billion by 2032, growing at a CAGR of 12.6% during the forecast period 2025-2032. The market is expanding steadily as microfluidic technologies gain widespread adoption across diagnostics, life sciences research, pharmaceuticals, and point-of-care testing due to their ability to handle small sample volumes with high precision and efficiency. Growth is driven by increasing demand for rapid diagnostics, advances in lab-on-a-chip technologies, and rising use of microfluidics in drug discovery, genomics, and cell analysis.</w:t>
      </w:r>
      <w:r/>
    </w:p>
    <w:p>
      <w:pPr>
        <w:pStyle w:val="ListNumber"/>
        <w:spacing w:line="240" w:lineRule="auto"/>
        <w:ind w:left="720"/>
      </w:pPr>
      <w:r/>
      <w:hyperlink r:id="rId12">
        <w:r>
          <w:rPr>
            <w:color w:val="0000EE"/>
            <w:u w:val="single"/>
          </w:rPr>
          <w:t>https://www.openpr.com/news/4347984/lab-on-a-chip-market-to-reach-us-14-66-billion-by-2032-cagr</w:t>
        </w:r>
      </w:hyperlink>
      <w:r>
        <w:t xml:space="preserve"> - This press release from DataM Intelligence 4 Market Research LLP provides an overview of the Lab-on-a-Chip (LoC) market, which reached US$ 6.78 billion in 2024 and is projected to reach US$ 14.66 billion by 2032, growing at a CAGR of 10.12% during the forecast period 2025-2032. The market growth is primarily driven by the rising demand for quick, portable, and cost-effective diagnostic solutions in medical, pharmaceutical, and research sectors. Lab-on-a-chip devices integrate multiple laboratory functions onto a single microchip, enabling real-time disease diagnosis with minimal sample volumes, which significantly reduces testing time and resource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2254/microfluidic-component-industry-outlook-2026-2032-strategic" TargetMode="External"/><Relationship Id="rId10" Type="http://schemas.openxmlformats.org/officeDocument/2006/relationships/hyperlink" Target="https://www.qyresearch.com/reports/6085708/microfluidic-components" TargetMode="External"/><Relationship Id="rId11" Type="http://schemas.openxmlformats.org/officeDocument/2006/relationships/hyperlink" Target="https://www.openpr.com/news/4350485/microfluidics-market-to-reach-us-73-97-billion-by-2032-at-12-6" TargetMode="External"/><Relationship Id="rId12" Type="http://schemas.openxmlformats.org/officeDocument/2006/relationships/hyperlink" Target="https://www.openpr.com/news/4347984/lab-on-a-chip-market-to-reach-us-14-66-billion-by-2032-cagr" TargetMode="External"/><Relationship Id="rId13" Type="http://schemas.openxmlformats.org/officeDocument/2006/relationships/hyperlink" Target="https://www.qyresearch.com" TargetMode="External"/><Relationship Id="rId14" Type="http://schemas.openxmlformats.org/officeDocument/2006/relationships/hyperlink" Target="https://www.qyresearch.co.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