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Stem Cell Therapy Market Trends: What the 2034 Forecast Means for Patients and Investors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health innovation are watching stem cell therapies closely as the market gears up for rapid growth; investors, clinicians and patients across North America, Europe and Asia-Pacific are tracking approvals, funding and new iPSC breakthroughs because they could change treatments for cancer, heart and neurological disease.</w:t>
      </w:r>
      <w:r/>
    </w:p>
    <w:p>
      <w:r/>
      <w:r>
        <w:t>Essential Takeaways</w:t>
      </w:r>
      <w:r/>
      <w:r/>
    </w:p>
    <w:p>
      <w:pPr>
        <w:pStyle w:val="ListBullet"/>
        <w:spacing w:line="240" w:lineRule="auto"/>
        <w:ind w:left="720"/>
      </w:pPr>
      <w:r/>
      <w:r>
        <w:rPr>
          <w:b/>
        </w:rPr>
        <w:t>Market scale:</w:t>
      </w:r>
      <w:r>
        <w:t xml:space="preserve"> The global stem cell therapy market is projected to grow from about USD 21.9bn in 2025 to roughly USD 58–59bn by 2034, implying strong commercial momentum. </w:t>
      </w:r>
      <w:r/>
    </w:p>
    <w:p>
      <w:pPr>
        <w:pStyle w:val="ListBullet"/>
        <w:spacing w:line="240" w:lineRule="auto"/>
        <w:ind w:left="720"/>
      </w:pPr>
      <w:r/>
      <w:r>
        <w:rPr>
          <w:b/>
        </w:rPr>
        <w:t>Growth rate:</w:t>
      </w:r>
      <w:r>
        <w:t xml:space="preserve"> Analysts expect a CAGR near double digits, around 11%, through 2034, driven by clinical progress and investment. </w:t>
      </w:r>
      <w:r/>
    </w:p>
    <w:p>
      <w:pPr>
        <w:pStyle w:val="ListBullet"/>
        <w:spacing w:line="240" w:lineRule="auto"/>
        <w:ind w:left="720"/>
      </w:pPr>
      <w:r/>
      <w:r>
        <w:rPr>
          <w:b/>
        </w:rPr>
        <w:t>Regional leaders:</w:t>
      </w:r>
      <w:r>
        <w:t xml:space="preserve"> North America currently leads, supported by research hubs and trial activity; Asia‑Pacific and Europe are fast closing the gap thanks to policy and funding moves. </w:t>
      </w:r>
      <w:r/>
    </w:p>
    <w:p>
      <w:pPr>
        <w:pStyle w:val="ListBullet"/>
        <w:spacing w:line="240" w:lineRule="auto"/>
        <w:ind w:left="720"/>
      </w:pPr>
      <w:r/>
      <w:r>
        <w:rPr>
          <w:b/>
        </w:rPr>
        <w:t>Therapy mix:</w:t>
      </w:r>
      <w:r>
        <w:t xml:space="preserve"> Allogeneic products and iPSC‑based approaches are attracting attention for scalability and personalised applications, while MSCs remain a workhorse in orthopaedics and inflammatory conditions. </w:t>
      </w:r>
      <w:r/>
    </w:p>
    <w:p>
      <w:pPr>
        <w:pStyle w:val="ListBullet"/>
        <w:spacing w:line="240" w:lineRule="auto"/>
        <w:ind w:left="720"/>
      </w:pPr>
      <w:r/>
      <w:r>
        <w:rPr>
          <w:b/>
        </w:rPr>
        <w:t>Practical cue:</w:t>
      </w:r>
      <w:r>
        <w:t xml:space="preserve"> Faster approvals and improved cryopreservation mean off‑the‑shelf options are becoming more realistic, but patient access will hinge on cost, reimbursement and long‑term data.</w:t>
      </w:r>
      <w:r/>
      <w:r/>
    </w:p>
    <w:p>
      <w:pPr>
        <w:pStyle w:val="Heading2"/>
      </w:pPr>
      <w:r>
        <w:t>Why an 11% CAGR actually feels significant to patients and clinics</w:t>
      </w:r>
      <w:r/>
    </w:p>
    <w:p>
      <w:r/>
      <w:r>
        <w:t xml:space="preserve">There’s a tangible buzz when a market is forecast to almost triple in a decade; it suggests more than optimism, it signals pipeline maturity and manufacturing scale‑up. According to industry research, increasing prevalence of chronic and degenerative diseases is a major demand engine, and that’s visible in clinic conversations where clinicians report more requests for regenerative options. </w:t>
      </w:r>
      <w:r/>
    </w:p>
    <w:p>
      <w:r/>
      <w:r>
        <w:t xml:space="preserve">The backstory is familiar: better cell‑culture methods, gene‑editing tweaks and expansion technologies have moved many programmes out of small academic labs and into commercial manufacturing. That shift changes how hospitals and transplant centres plan capacity and how patients ask about alternatives to conventional therapies. </w:t>
      </w:r>
      <w:r/>
    </w:p>
    <w:p>
      <w:r/>
      <w:r>
        <w:t>If you’re a patient, the takeaway is practical, expect more trials and a growing number of centre‑based offerings, but also ask hard questions about durability of benefit and out‑of‑pocket costs. For clinicians, the message is to build protocols now for integrating cell products safely.</w:t>
      </w:r>
      <w:r/>
    </w:p>
    <w:p>
      <w:pPr>
        <w:pStyle w:val="Heading2"/>
      </w:pPr>
      <w:r>
        <w:t>North America leads today, but Asia‑Pacific is staging a fast catch‑up</w:t>
      </w:r>
      <w:r/>
    </w:p>
    <w:p>
      <w:r/>
      <w:r>
        <w:t xml:space="preserve">North America held the largest share of the market in recent figures, helped by deep pockets, established research institutions and an active clinical trial ecosystem. That environment encourages earlier adoption and quicker commercial roll‑out of breakthrough therapies. </w:t>
      </w:r>
      <w:r/>
    </w:p>
    <w:p>
      <w:r/>
      <w:r>
        <w:t xml:space="preserve">Meanwhile, Asia‑Pacific countries including Japan, South Korea, China and India are leveraging accelerated regulatory pathways and government initiatives to drive domestic development. Japan’s recent conditional approvals for iPSC‑derived products have been a visible milestone, showing how regulatory policy can speed real‑world use. </w:t>
      </w:r>
      <w:r/>
    </w:p>
    <w:p>
      <w:r/>
      <w:r>
        <w:t>For investors, geography matters: regulatory speed and reimbursement frameworks will determine where companies choose to launch first. For patients, regional differences mean availability and price can vary widely, so getting local guidance is essential.</w:t>
      </w:r>
      <w:r/>
    </w:p>
    <w:p>
      <w:pPr>
        <w:pStyle w:val="Heading2"/>
      </w:pPr>
      <w:r>
        <w:t>Which technologies and therapy types are shaping the next phase</w:t>
      </w:r>
      <w:r/>
    </w:p>
    <w:p>
      <w:r/>
      <w:r>
        <w:t xml:space="preserve">Allogeneic therapies are being championed for their production efficiency and off‑the‑shelf potential, while autologous approaches still appeal where immune compatibility is critical. Induced pluripotent stem cells (iPSCs) are now moving from lab curiosity to clinical contenders, especially in neurology and cardiology. </w:t>
      </w:r>
      <w:r/>
    </w:p>
    <w:p>
      <w:r/>
      <w:r>
        <w:t xml:space="preserve">Clinical trial activity is expanding across therapeutic areas, from oncology and haematological disorders to orthopaedics, ophthalmology and dermatology, broadening the commercial opportunity. Improved cell banking and cryopreservation also make logistics less of a bottleneck, giving manufacturers more confidence to scale. </w:t>
      </w:r>
      <w:r/>
    </w:p>
    <w:p>
      <w:r/>
      <w:r>
        <w:t>If you’re assessing a product or a company, look for transparent manufacturing standards, long‑term safety data and a clear plan for reimbursement. Those three features separate speculative plays from realistic, patient‑ready therapies.</w:t>
      </w:r>
      <w:r/>
    </w:p>
    <w:p>
      <w:pPr>
        <w:pStyle w:val="Heading2"/>
      </w:pPr>
      <w:r>
        <w:t>Recent approvals and milestones that matter</w:t>
      </w:r>
      <w:r/>
    </w:p>
    <w:p>
      <w:r/>
      <w:r>
        <w:t xml:space="preserve">Regulatory green lights and RMAT designations have moved some programmes into the spotlight, signalling that regulators are willing to use expedited pathways for regenerative medicines. Examples of high‑profile approvals and trial clearances are reshaping expectations about what’s possible in conditions like Parkinson’s, heart failure and autoimmune disease. </w:t>
      </w:r>
      <w:r/>
    </w:p>
    <w:p>
      <w:r/>
      <w:r>
        <w:t xml:space="preserve">These milestones have a practical knock‑on: they attract capital, accelerate partnerships between big pharma and cell‑therapy specialists, and push pricing and market‑access conversations to the fore. But real‑world evidence will be the judge, long‑term follow‑up is still needed to confirm benefits seen in early trials. </w:t>
      </w:r>
      <w:r/>
    </w:p>
    <w:p>
      <w:r/>
      <w:r>
        <w:t>For patients following the news, a cautious optimism is sensible: approvals open doors, but make sure treatments are delivered through accredited centres with robust follow‑up.</w:t>
      </w:r>
      <w:r/>
    </w:p>
    <w:p>
      <w:pPr>
        <w:pStyle w:val="Heading2"/>
      </w:pPr>
      <w:r>
        <w:t>How to think about risk, access and everyday choices</w:t>
      </w:r>
      <w:r/>
    </w:p>
    <w:p>
      <w:r/>
      <w:r>
        <w:t xml:space="preserve">Stem cell therapies promise transformative outcomes for some conditions, but they’re not a magic bullet and pricing will be a limiting factor for many. Watch for payer decisions and national health‑system pilots that will largely determine whether new treatments become widely available or remain niche. </w:t>
      </w:r>
      <w:r/>
    </w:p>
    <w:p>
      <w:r/>
      <w:r>
        <w:t xml:space="preserve">If you’re considering participation in a trial or a treatment, ask about the therapy source, the manufacturing controls, likely follow‑up, and whether the centre is part of a registry. For savvier investors, early‑stage firms with strong manufacturing plans and clear regulatory strategies are the most interesting opportunities. </w:t>
      </w:r>
      <w:r/>
    </w:p>
    <w:p>
      <w:r/>
      <w:r>
        <w:t>And for clinicians, investing time in training, patient education and collecting outcomes will pay dividends as more therapies move into routine care.</w:t>
      </w:r>
      <w:r/>
    </w:p>
    <w:p>
      <w:r/>
      <w:r>
        <w:t>It's a small change in medical practice that could make every future treatment more imaginative, and more personal.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[4]</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10">
        <w:r>
          <w:rPr>
            <w:color w:val="0000EE"/>
            <w:u w:val="single"/>
          </w:rPr>
          <w:t>[3]</w:t>
        </w:r>
      </w:hyperlink>
      <w:r>
        <w:t xml:space="preserve">, </w:t>
      </w:r>
      <w:hyperlink r:id="rId12">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https://www.globenewswire.com/news-release/2026/05/05/3288098/0/en/Global-Stem-Cell-Therapy-Market-Set-to-Flourish-at-a-CAGR-of-11-by-2034-Owing-to-the-Technological-Advancements-and-Favorable-Regulations-DelveInsight.html</w:t>
        </w:r>
      </w:hyperlink>
      <w:r>
        <w:t xml:space="preserve"> - Please view link - unable to able to access data</w:t>
      </w:r>
      <w:r/>
    </w:p>
    <w:p>
      <w:pPr>
        <w:pStyle w:val="ListNumber"/>
        <w:spacing w:line="240" w:lineRule="auto"/>
        <w:ind w:left="720"/>
      </w:pPr>
      <w:r/>
      <w:hyperlink r:id="rId9">
        <w:r>
          <w:rPr>
            <w:color w:val="0000EE"/>
            <w:u w:val="single"/>
          </w:rPr>
          <w:t>https://www.globenewswire.com/news-release/2026/05/05/3288098/0/en/Global-Stem-Cell-Therapy-Market-Set-to-Flourish-at-a-CAGR-of-11-by-2034-Owing-to-the-Technological-Advancements-and-Favorable-Regulations-DelveInsight.html</w:t>
        </w:r>
      </w:hyperlink>
      <w:r>
        <w:t xml:space="preserve"> - The global stem cell therapy market is experiencing significant growth, projected to reach USD 58.5 billion by 2034, with a compound annual growth rate (CAGR) of approximately 11%. This expansion is driven by increasing demand for regenerative medicine and advanced treatments for chronic diseases such as cancer, diabetes, and neurological disorders. Key factors contributing to this growth include advancements in stem cell biology, gene editing, tissue engineering, and cell expansion technologies, as well as supportive regulatory frameworks and growing investments in research and development.</w:t>
      </w:r>
      <w:r/>
    </w:p>
    <w:p>
      <w:pPr>
        <w:pStyle w:val="ListNumber"/>
        <w:spacing w:line="240" w:lineRule="auto"/>
        <w:ind w:left="720"/>
      </w:pPr>
      <w:r/>
      <w:hyperlink r:id="rId10">
        <w:r>
          <w:rPr>
            <w:color w:val="0000EE"/>
            <w:u w:val="single"/>
          </w:rPr>
          <w:t>https://www.grandviewresearch.com/industry-analysis/stem-cell-therapy-market-report</w:t>
        </w:r>
      </w:hyperlink>
      <w:r>
        <w:t xml:space="preserve"> - The stem cell therapy market is projected to grow at a CAGR of 25.23% from 2025 to 2030, with the global market size estimated at USD 456.0 million in 2024 and expected to reach USD 1,670.1 million by 2030. This growth is primarily driven by the increasing incidence of chronic diseases and degenerative disorders, such as cancer and cardiovascular diseases, which have led to a search for new treatment options. The market is also supported by significant investments in research and development from governments, private investors, and pharmaceutical companies.</w:t>
      </w:r>
      <w:r/>
    </w:p>
    <w:p>
      <w:pPr>
        <w:pStyle w:val="ListNumber"/>
        <w:spacing w:line="240" w:lineRule="auto"/>
        <w:ind w:left="720"/>
      </w:pPr>
      <w:r/>
      <w:hyperlink r:id="rId11">
        <w:r>
          <w:rPr>
            <w:color w:val="0000EE"/>
            <w:u w:val="single"/>
          </w:rPr>
          <w:t>https://www.biospace.com/press-releases/stem-cells-market-size-to-surge-to-49-26-billion-by-2034-driven-by-11-47-cagr</w:t>
        </w:r>
      </w:hyperlink>
      <w:r>
        <w:t xml:space="preserve"> - The global stem cells market is expected to grow from USD 16.63 billion in 2024 to USD 49.26 billion by 2034, expanding at a CAGR of 11.47%. This growth is attributed to various government organizations helping to build cutting-edge facilities for research and development, as well as rising regulatory approvals and demand for cell therapies. The market's expansion is also supported by increasing investments from biotech companies, pharmaceutical firms, venture capitalists, and public organizations, which are driving innovation and manufacturing expansion.</w:t>
      </w:r>
      <w:r/>
    </w:p>
    <w:p>
      <w:pPr>
        <w:pStyle w:val="ListNumber"/>
        <w:spacing w:line="240" w:lineRule="auto"/>
        <w:ind w:left="720"/>
      </w:pPr>
      <w:r/>
      <w:hyperlink r:id="rId12">
        <w:r>
          <w:rPr>
            <w:color w:val="0000EE"/>
            <w:u w:val="single"/>
          </w:rPr>
          <w:t>https://www.grandviewresearch.com/industry-analysis/stem-cells-market</w:t>
        </w:r>
      </w:hyperlink>
      <w:r>
        <w:t xml:space="preserve"> - The global stem cells market was valued at USD 15.10 billion in 2024 and is anticipated to reach USD 28.89 billion by 2030, growing at a CAGR of 11.41% from 2025 to 2030. The market's growth is driven by the development of precision medicine, an increase in the number of cell therapy production facilities, and a rising number of clinical trials. Additionally, advancements in stem cell research and the development of healthcare infrastructure worldwide are contributing to the market's expansion.</w:t>
      </w:r>
      <w:r/>
    </w:p>
    <w:p>
      <w:pPr>
        <w:pStyle w:val="ListNumber"/>
        <w:spacing w:line="240" w:lineRule="auto"/>
        <w:ind w:left="720"/>
      </w:pPr>
      <w:r/>
      <w:hyperlink r:id="rId14">
        <w:r>
          <w:rPr>
            <w:color w:val="0000EE"/>
            <w:u w:val="single"/>
          </w:rPr>
          <w:t>https://www.businessupturn.com/brand-post/global-stem-cell-therapy-market-set-to-flourish-at-a-cagr-of-11-by-2034-owing-to-the-technological-advancements-and-favorable-regulations-delveinsight/</w:t>
        </w:r>
      </w:hyperlink>
      <w:r>
        <w:t xml:space="preserve"> - The stem cell therapy market is witnessing strong growth, driven by rising demand for regenerative medicine and advanced treatment options for chronic diseases such as cancer, diabetes, and neurological disorders. Increasing investments in research, clinical trials, and biotechnology innovation are accelerating the development of new stem cell-based therapies. Supportive regulatory frameworks and growing adoption of personalized medicine are further boosting market expansion. Key factors contributing to this growth include advancements in stem cell biology, gene editing, tissue engineering, and cell expansion technologies.</w:t>
      </w:r>
      <w:r/>
    </w:p>
    <w:p>
      <w:pPr>
        <w:pStyle w:val="ListNumber"/>
        <w:spacing w:line="240" w:lineRule="auto"/>
        <w:ind w:left="720"/>
      </w:pPr>
      <w:r/>
      <w:hyperlink r:id="rId13">
        <w:r>
          <w:rPr>
            <w:color w:val="0000EE"/>
            <w:u w:val="single"/>
          </w:rPr>
          <w:t>https://www.biospace.com/press-releases/stem-cell-therapy-market-size-to-lead-usd-54-45-billion-by-2034-driven-by-advancements-in-regenerative-medicine-and-personalized-treatments</w:t>
        </w:r>
      </w:hyperlink>
      <w:r>
        <w:t xml:space="preserve"> - The global stem cell therapy market size is forecasted to reach around USD 54.45 billion by 2034, increasing from USD 16.04 billion in 2024, representing a remarkable CAGR of 13% from 2025 to 2034. This growth is driven by rising research and development activities undertaken by companies for stem cell therapy, growing prevalence of chronic diseases, increasing awareness regarding the availability of stem cell therapy in developing countries, and rising government initiatives for stem cell therapies.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lobenewswire.com/news-release/2026/05/05/3288098/0/en/Global-Stem-Cell-Therapy-Market-Set-to-Flourish-at-a-CAGR-of-11-by-2034-Owing-to-the-Technological-Advancements-and-Favorable-Regulations-DelveInsight.html" TargetMode="External"/><Relationship Id="rId10" Type="http://schemas.openxmlformats.org/officeDocument/2006/relationships/hyperlink" Target="https://www.grandviewresearch.com/industry-analysis/stem-cell-therapy-market-report" TargetMode="External"/><Relationship Id="rId11" Type="http://schemas.openxmlformats.org/officeDocument/2006/relationships/hyperlink" Target="https://www.biospace.com/press-releases/stem-cells-market-size-to-surge-to-49-26-billion-by-2034-driven-by-11-47-cagr" TargetMode="External"/><Relationship Id="rId12" Type="http://schemas.openxmlformats.org/officeDocument/2006/relationships/hyperlink" Target="https://www.grandviewresearch.com/industry-analysis/stem-cells-market" TargetMode="External"/><Relationship Id="rId13" Type="http://schemas.openxmlformats.org/officeDocument/2006/relationships/hyperlink" Target="https://www.biospace.com/press-releases/stem-cell-therapy-market-size-to-lead-usd-54-45-billion-by-2034-driven-by-advancements-in-regenerative-medicine-and-personalized-treatments" TargetMode="External"/><Relationship Id="rId14" Type="http://schemas.openxmlformats.org/officeDocument/2006/relationships/hyperlink" Target="https://www.businessupturn.com/brand-post/global-stem-cell-therapy-market-set-to-flourish-at-a-cagr-of-11-by-2034-owing-to-the-technological-advancements-and-favorable-regulations-delveins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