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Tokenised Securities Trading: What the NYSE Rule Change Means for Investors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market innovation have noticed a new front in trading: the NYSE has filed an immediately effective rule change to let certain securities settle in tokenised form, a move that could reshape post-trade plumbing for mainstream stocks and ETFs and matters for investors, brokers and market infrastructure.</w:t>
      </w:r>
      <w:r/>
    </w:p>
    <w:p>
      <w:r/>
      <w:r>
        <w:t>Essential takeaways</w:t>
      </w:r>
      <w:r/>
      <w:r/>
    </w:p>
    <w:p>
      <w:pPr>
        <w:pStyle w:val="ListBullet"/>
        <w:spacing w:line="240" w:lineRule="auto"/>
        <w:ind w:left="720"/>
      </w:pPr>
      <w:r/>
      <w:r>
        <w:rPr>
          <w:b/>
        </w:rPr>
        <w:t>What changed:</w:t>
      </w:r>
      <w:r>
        <w:t xml:space="preserve"> The NYSE now permits trades to be flagged for tokenised settlement alongside traditional shares on the same order book, simplifying execution and keeping priority identical.</w:t>
      </w:r>
      <w:r/>
    </w:p>
    <w:p>
      <w:pPr>
        <w:pStyle w:val="ListBullet"/>
        <w:spacing w:line="240" w:lineRule="auto"/>
        <w:ind w:left="720"/>
      </w:pPr>
      <w:r/>
      <w:r>
        <w:rPr>
          <w:b/>
        </w:rPr>
        <w:t>Pilot scope:</w:t>
      </w:r>
      <w:r>
        <w:t xml:space="preserve"> Initially limited to Russell 1000 constituents and major-index ETFs, with trades defaulting to conventional settlement when conditions aren’t met.</w:t>
      </w:r>
      <w:r/>
    </w:p>
    <w:p>
      <w:pPr>
        <w:pStyle w:val="ListBullet"/>
        <w:spacing w:line="240" w:lineRule="auto"/>
        <w:ind w:left="720"/>
      </w:pPr>
      <w:r/>
      <w:r>
        <w:rPr>
          <w:b/>
        </w:rPr>
        <w:t>Timing and tech:</w:t>
      </w:r>
      <w:r>
        <w:t xml:space="preserve"> The rule runs during The Depository Trust Company’s three‑year tokenisation pilot; DTC plans a Canton Network launch in H2 2026 with Digital Asset.</w:t>
      </w:r>
      <w:r/>
    </w:p>
    <w:p>
      <w:pPr>
        <w:pStyle w:val="ListBullet"/>
        <w:spacing w:line="240" w:lineRule="auto"/>
        <w:ind w:left="720"/>
      </w:pPr>
      <w:r/>
      <w:r>
        <w:rPr>
          <w:b/>
        </w:rPr>
        <w:t>Who’s responsible:</w:t>
      </w:r>
      <w:r>
        <w:t xml:space="preserve"> Member firms must confirm eligibility; no separate trading venue or bespoke exemptive relief is required during the pilot.</w:t>
      </w:r>
      <w:r/>
    </w:p>
    <w:p>
      <w:pPr>
        <w:pStyle w:val="ListBullet"/>
        <w:spacing w:line="240" w:lineRule="auto"/>
        <w:ind w:left="720"/>
      </w:pPr>
      <w:r/>
      <w:r>
        <w:rPr>
          <w:b/>
        </w:rPr>
        <w:t>Practical feel:</w:t>
      </w:r>
      <w:r>
        <w:t xml:space="preserve"> Expect familiar trading flows but a different back‑end , tokenised settlement may feel quicker and more transparent once the rails and custody controls are proved.</w:t>
      </w:r>
      <w:r/>
      <w:r/>
    </w:p>
    <w:p>
      <w:pPr>
        <w:pStyle w:val="Heading2"/>
      </w:pPr>
      <w:r>
        <w:t>Why this NYSE move matters , a quick, sensory snapshot</w:t>
      </w:r>
      <w:r/>
    </w:p>
    <w:p>
      <w:r/>
      <w:r>
        <w:t>Think of markets as a concert venue where the band hasn’t changed, only the backstage crew. Trades will still hit the same NYSE order book and sound the same at execution, but some of them will be handed off to a digital ledger backstage for settlement. That “sleek” ledger feel , permissioned, cryptographically secure, and potentially faster , is what’s new. According to the SEC filing, this is deliberately positioned as a settlement preference, not a separate marketplace, so traders shouldn’t notice a different execution experience at the front end.</w:t>
      </w:r>
      <w:r/>
    </w:p>
    <w:p>
      <w:pPr>
        <w:pStyle w:val="Heading2"/>
      </w:pPr>
      <w:r>
        <w:t>How the pilot is structured and why the limits make sense</w:t>
      </w:r>
      <w:r/>
    </w:p>
    <w:p>
      <w:r/>
      <w:r>
        <w:t>The pilot’s universe, Russell 1000 names and major index ETFs, is pragmatic. Regulators and exchanges often start with liquid, widely held securities to limit operational risk and test mechanics under real market stress. The DTC’s three‑year no‑action pilot, authorised by the SEC, runs in parallel, and the NYSE rule specifically ties tokenised settlement eligibility to that infrastructure. In plain terms, when a member flags a trade for tokenised settlement and the security meets the laid-out criteria, the post‑trade path switches to tokens; otherwise, the trade settles traditionally. That default reduces surprises while the system is proven.</w:t>
      </w:r>
      <w:r/>
    </w:p>
    <w:p>
      <w:pPr>
        <w:pStyle w:val="Heading2"/>
      </w:pPr>
      <w:r>
        <w:t>The tech behind it: DTC, Digital Asset and the Canton Network</w:t>
      </w:r>
      <w:r/>
    </w:p>
    <w:p>
      <w:r/>
      <w:r>
        <w:t>This is not blockchain theatre; it’s an inter‑operable custody and settlement experiment. The Depository Trust Company plans to mint tokenised representations of DTC‑custodied U.S. Treasuries and other eligible assets on Digital Asset’s Canton Network. Canton is permissioned, meaning access is controlled rather than open to anyone, and that helps address custody, identity and regulatory requirements. The DTC’s timeline points to a second‑half‑2026 launch for the service, which gives market participants a runway to operationalise connectivity, compliance and testing.</w:t>
      </w:r>
      <w:r/>
    </w:p>
    <w:p>
      <w:pPr>
        <w:pStyle w:val="Heading2"/>
      </w:pPr>
      <w:r>
        <w:t>Market impact: custody, brokers and the investor experience</w:t>
      </w:r>
      <w:r/>
    </w:p>
    <w:p>
      <w:r/>
      <w:r>
        <w:t>For brokers and custodians it’s mainly an operations story: systems must confirm eligibility at order entry, route flags correctly and reconcile token‑based positions with ledger records. The NYSE places that eligibility confirmation obligation squarely on member organisations, so broker tech and onboarding will determine how smoothly traders can opt into tokenised settlement. For investors, the front‑end should remain familiar , you’ll still see fills and reports , but back‑office timelines, reconciliation statements and perhaps fee disclosures may shift as tokenised settlement scales.</w:t>
      </w:r>
      <w:r/>
    </w:p>
    <w:p>
      <w:pPr>
        <w:pStyle w:val="Heading2"/>
      </w:pPr>
      <w:r>
        <w:t>Risks, regulatory guardrails and what to watch next</w:t>
      </w:r>
      <w:r/>
    </w:p>
    <w:p>
      <w:r/>
      <w:r>
        <w:t>Regulators have been careful: tokenisation during this phase is explicitly tied to DTC’s authorised pilot and constrained to a defined securities universe. That reduces legal uncertainty and gives policymakers time to monitor market integrity issues like custody, transfer finality and surveillance. Watch for how cancellation, corporate actions and fails get handled on ledgered positions , these are the devilish details that determine whether tokenised settlement is genuinely faster and cheaper, or merely different. Industry observers will also track whether this encourages other exchanges to file comparable rules and how interoperability across token platforms evolves.</w:t>
      </w:r>
      <w:r/>
    </w:p>
    <w:p>
      <w:r/>
      <w:r>
        <w:t>It's a small, staged change but one likely to influence the nuts and bolts of post‑trade processing if the pilot proves reliable.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https://www.jdsupra.com/legalnews/fintech-five-lowenstein-s-fintech-9475238/</w:t>
        </w:r>
      </w:hyperlink>
      <w:r>
        <w:t xml:space="preserve"> - Please view link - unable to able to access data</w:t>
      </w:r>
      <w:r/>
    </w:p>
    <w:p>
      <w:pPr>
        <w:pStyle w:val="ListNumber"/>
        <w:spacing w:line="240" w:lineRule="auto"/>
        <w:ind w:left="720"/>
      </w:pPr>
      <w:r/>
      <w:hyperlink r:id="rId10">
        <w:r>
          <w:rPr>
            <w:color w:val="0000EE"/>
            <w:u w:val="single"/>
          </w:rPr>
          <w:t>https://www.sec.gov/rules-regulations/self-regulatory-organization-rulemaking/sr-nyse-2026-17</w:t>
        </w:r>
      </w:hyperlink>
      <w:r>
        <w:t xml:space="preserve"> - On April 17, 2026, the Securities and Exchange Commission (SEC) announced the immediate effectiveness of a proposed rule change by the New York Stock Exchange (NYSE) to permit the trading of securities in tokenized form. This change allows tokenized and traditional shares of the same eligible security to trade on the same NYSE order book with the same execution priority. Eligible member organizations can flag trades for tokenized settlement without the need for a separate venue or exemptive relief. The rule operates during the Depository Trust Company's (DTC) three-year tokenization pilot, which plans to launch in the second half of 2026 in partnership with Digital Asset on its Canton Network, a permissioned blockchain for minting tokenized representations of DTC-custodied U.S. Treasury securities and other eligible assets. The SEC's release is available here.</w:t>
      </w:r>
      <w:r/>
    </w:p>
    <w:p>
      <w:pPr>
        <w:pStyle w:val="ListNumber"/>
        <w:spacing w:line="240" w:lineRule="auto"/>
        <w:ind w:left="720"/>
      </w:pPr>
      <w:r/>
      <w:hyperlink r:id="rId11">
        <w:r>
          <w:rPr>
            <w:color w:val="0000EE"/>
            <w:u w:val="single"/>
          </w:rPr>
          <w:t>https://www.cftc.gov/PressRoom/PressReleases/9220-26</w:t>
        </w:r>
      </w:hyperlink>
      <w:r>
        <w:t xml:space="preserve"> - On April 28, 2026, the Commodity Futures Trading Commission (CFTC) filed a lawsuit against Wisconsin in response to the state's lawsuits against Kalshi, Polymarket, Crypto.com, Robinhood, and Coinbase, five CFTC-regulated prediction markets. The CFTC asserts its exclusive jurisdiction over event contracts and seeks to prevent Wisconsin from enforcing state laws against these markets. Chairman Michael S. Selig stated, "States cannot circumvent the clear directive of Congress." This action follows similar lawsuits filed by the CFTC against New York, Arizona, and other states to affirm its authority over prediction markets.</w:t>
      </w:r>
      <w:r/>
    </w:p>
    <w:p>
      <w:pPr>
        <w:pStyle w:val="ListNumber"/>
        <w:spacing w:line="240" w:lineRule="auto"/>
        <w:ind w:left="720"/>
      </w:pPr>
      <w:r/>
      <w:hyperlink r:id="rId12">
        <w:r>
          <w:rPr>
            <w:color w:val="0000EE"/>
            <w:u w:val="single"/>
          </w:rPr>
          <w:t>https://www.cftc.gov/PressRoom/PressReleases/9219-26</w:t>
        </w:r>
      </w:hyperlink>
      <w:r>
        <w:t xml:space="preserve"> - On April 24, 2026, the CFTC filed an amicus brief in the Massachusetts Supreme Judicial Court, reaffirming its exclusive jurisdiction over U.S. commodity derivatives markets, including event contract markets known as prediction markets. The brief outlines how the Commodity Exchange Act preempts state laws as applied to CFTC-regulated markets. This filing is part of the CFTC's broader effort to protect its jurisdiction from state encroachment, following similar actions in Arizona, Connecticut, Illinois, and New York.</w:t>
      </w:r>
      <w:r/>
    </w:p>
    <w:p>
      <w:pPr>
        <w:pStyle w:val="ListNumber"/>
        <w:spacing w:line="240" w:lineRule="auto"/>
        <w:ind w:left="720"/>
      </w:pPr>
      <w:r/>
      <w:hyperlink r:id="rId13">
        <w:r>
          <w:rPr>
            <w:color w:val="0000EE"/>
            <w:u w:val="single"/>
          </w:rPr>
          <w:t>https://www.cftc.gov/PressRoom/PressReleases/9218-26</w:t>
        </w:r>
      </w:hyperlink>
      <w:r>
        <w:t xml:space="preserve"> - On April 24, 2026, the CFTC filed a lawsuit in the U.S. District Court for the Southern District of New York to halt the State of New York's efforts to apply state gambling laws against CFTC-registered contract markets. The CFTC seeks a declaratory judgment that federal law grants it exclusive authority to regulate event contracts and requests a permanent injunction preventing the state from enforcing preempted state laws against its registrants. Chairman Michael S. Selig stated, "The CFTC will not allow overzealous state governments to undermine the agency's longstanding authority over these markets."</w:t>
      </w:r>
      <w:r/>
    </w:p>
    <w:p>
      <w:pPr>
        <w:pStyle w:val="ListNumber"/>
        <w:spacing w:line="240" w:lineRule="auto"/>
        <w:ind w:left="720"/>
      </w:pPr>
      <w:r/>
      <w:hyperlink r:id="rId14">
        <w:r>
          <w:rPr>
            <w:color w:val="0000EE"/>
            <w:u w:val="single"/>
          </w:rPr>
          <w:t>https://www.cftc.gov/PressRoom/PressReleases/9206-26</w:t>
        </w:r>
      </w:hyperlink>
      <w:r>
        <w:t xml:space="preserve"> - On April 2, 2026, the CFTC filed lawsuits challenging the actions of Arizona, Connecticut, and Illinois against CFTC-registered designated contract markets. Despite the CFTC's clear and longstanding exclusive jurisdiction to regulate event contracts under the Commodity Exchange Act, various states have attempted to outlaw, regulate, or otherwise restrain the activities of DCMs that facilitate trading in lawful event contracts. Chairman Michael S. Selig stated, "The CFTC will continue to safeguard its exclusive regulatory authority over these markets and defend market participants against overzealous state regulators."</w:t>
      </w:r>
      <w:r/>
    </w:p>
    <w:p>
      <w:pPr>
        <w:pStyle w:val="ListNumber"/>
        <w:spacing w:line="240" w:lineRule="auto"/>
        <w:ind w:left="720"/>
      </w:pPr>
      <w:r/>
      <w:hyperlink r:id="rId15">
        <w:r>
          <w:rPr>
            <w:color w:val="0000EE"/>
            <w:u w:val="single"/>
          </w:rPr>
          <w:t>https://www.cftc.gov/PressRoom/PressReleases/9211-26</w:t>
        </w:r>
      </w:hyperlink>
      <w:r>
        <w:t xml:space="preserve"> - On April 10, 2026, at the request of the CFTC, the United States District Court for the District of Arizona granted a temporary restraining order barring Arizona from continuing to pursue criminal charges against CFTC-regulated designated contract markets. This follows the CFTC's filing of a complaint against Arizona seeking an injunction barring the state from attempting to preempt federal law. Chairman Michael S. Selig stated, "Arizona's decision to weaponize state criminal law against companies that comply with federal law sets a dangerous precedent."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fintech-five-lowenstein-s-fintech-9475238/" TargetMode="External"/><Relationship Id="rId10" Type="http://schemas.openxmlformats.org/officeDocument/2006/relationships/hyperlink" Target="https://www.sec.gov/rules-regulations/self-regulatory-organization-rulemaking/sr-nyse-2026-17" TargetMode="External"/><Relationship Id="rId11" Type="http://schemas.openxmlformats.org/officeDocument/2006/relationships/hyperlink" Target="https://www.cftc.gov/PressRoom/PressReleases/9220-26" TargetMode="External"/><Relationship Id="rId12" Type="http://schemas.openxmlformats.org/officeDocument/2006/relationships/hyperlink" Target="https://www.cftc.gov/PressRoom/PressReleases/9219-26" TargetMode="External"/><Relationship Id="rId13" Type="http://schemas.openxmlformats.org/officeDocument/2006/relationships/hyperlink" Target="https://www.cftc.gov/PressRoom/PressReleases/9218-26" TargetMode="External"/><Relationship Id="rId14" Type="http://schemas.openxmlformats.org/officeDocument/2006/relationships/hyperlink" Target="https://www.cftc.gov/PressRoom/PressReleases/9206-26" TargetMode="External"/><Relationship Id="rId15" Type="http://schemas.openxmlformats.org/officeDocument/2006/relationships/hyperlink" Target="https://www.cftc.gov/PressRoom/PressReleases/9211-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